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931A50A"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3B7BFF">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836CDE">
        <w:rPr>
          <w:b/>
          <w:bCs/>
          <w:i/>
          <w:noProof/>
          <w:sz w:val="28"/>
        </w:rPr>
        <w:t>08894</w:t>
      </w:r>
    </w:p>
    <w:p w14:paraId="06EFB710" w14:textId="15C91F33" w:rsidR="00324A06" w:rsidRPr="001C568A" w:rsidRDefault="00836CDE" w:rsidP="00324A06">
      <w:pPr>
        <w:pStyle w:val="CRCoverPage"/>
        <w:outlineLvl w:val="0"/>
        <w:rPr>
          <w:b/>
          <w:noProof/>
          <w:sz w:val="24"/>
          <w:lang w:val="en-US"/>
        </w:rPr>
      </w:pPr>
      <w:r>
        <w:rPr>
          <w:b/>
          <w:noProof/>
          <w:sz w:val="24"/>
        </w:rPr>
        <w:t>Online</w:t>
      </w:r>
      <w:r w:rsidR="00324A06" w:rsidRPr="00800E83">
        <w:rPr>
          <w:b/>
          <w:noProof/>
          <w:sz w:val="24"/>
        </w:rPr>
        <w:t xml:space="preserve">, </w:t>
      </w:r>
      <w:r w:rsidR="00C9212B">
        <w:rPr>
          <w:b/>
          <w:noProof/>
          <w:sz w:val="24"/>
        </w:rPr>
        <w:t>November 2</w:t>
      </w:r>
      <w:r w:rsidR="000869B7">
        <w:rPr>
          <w:b/>
          <w:noProof/>
          <w:sz w:val="24"/>
        </w:rPr>
        <w:t xml:space="preserve"> </w:t>
      </w:r>
      <w:r w:rsidR="00324A06">
        <w:rPr>
          <w:b/>
          <w:noProof/>
          <w:sz w:val="24"/>
        </w:rPr>
        <w:t>–</w:t>
      </w:r>
      <w:r w:rsidR="00324A06" w:rsidRPr="00800E83">
        <w:rPr>
          <w:b/>
          <w:noProof/>
          <w:sz w:val="24"/>
        </w:rPr>
        <w:t xml:space="preserve"> </w:t>
      </w:r>
      <w:r w:rsidR="000869B7">
        <w:rPr>
          <w:b/>
          <w:noProof/>
          <w:sz w:val="24"/>
        </w:rPr>
        <w:t>13</w:t>
      </w:r>
      <w:r w:rsidR="00013EBD">
        <w:rPr>
          <w:b/>
          <w:noProof/>
          <w:sz w:val="24"/>
        </w:rPr>
        <w:t>,</w:t>
      </w:r>
      <w:r w:rsidR="00324A06">
        <w:rPr>
          <w:b/>
          <w:noProof/>
          <w:sz w:val="24"/>
        </w:rPr>
        <w:t xml:space="preserve"> </w:t>
      </w:r>
      <w:r w:rsidR="00324A06" w:rsidRPr="00800E83">
        <w:rPr>
          <w:b/>
          <w:noProof/>
          <w:sz w:val="24"/>
        </w:rPr>
        <w:t>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92B69B2" w:rsidR="001E41F3" w:rsidRPr="00410371" w:rsidRDefault="00B445FA" w:rsidP="00E13F3D">
            <w:pPr>
              <w:pStyle w:val="CRCoverPage"/>
              <w:spacing w:after="0"/>
              <w:jc w:val="right"/>
              <w:rPr>
                <w:b/>
                <w:noProof/>
                <w:sz w:val="28"/>
              </w:rPr>
            </w:pPr>
            <w:fldSimple w:instr=" DOCPROPERTY  Spec#  \* MERGEFORMAT ">
              <w:r w:rsidR="005C57CA">
                <w:rPr>
                  <w:b/>
                  <w:noProof/>
                  <w:sz w:val="28"/>
                </w:rPr>
                <w:t>38.3</w:t>
              </w:r>
              <w:r w:rsidR="00ED0F89">
                <w:rPr>
                  <w:b/>
                  <w:noProof/>
                  <w:sz w:val="28"/>
                </w:rPr>
                <w:t>06</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49EB02B" w:rsidR="001E41F3" w:rsidRPr="00410371" w:rsidRDefault="00B445FA" w:rsidP="00547111">
            <w:pPr>
              <w:pStyle w:val="CRCoverPage"/>
              <w:spacing w:after="0"/>
              <w:rPr>
                <w:noProof/>
              </w:rPr>
            </w:pPr>
            <w:fldSimple w:instr=" DOCPROPERTY  Cr#  \* MERGEFORMAT ">
              <w:r w:rsidR="00836CDE">
                <w:rPr>
                  <w:b/>
                  <w:noProof/>
                  <w:sz w:val="28"/>
                </w:rPr>
                <w:t>0415</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445FA"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EBCC86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16.</w:t>
              </w:r>
              <w:r w:rsidR="008415ED">
                <w:rPr>
                  <w:b/>
                  <w:noProof/>
                  <w:sz w:val="28"/>
                </w:rPr>
                <w:t>2</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2185187" w:rsidR="001E41F3" w:rsidRDefault="0035644A" w:rsidP="00324A06">
            <w:pPr>
              <w:pStyle w:val="CRCoverPage"/>
              <w:spacing w:before="20" w:after="20"/>
              <w:ind w:left="100"/>
              <w:rPr>
                <w:noProof/>
              </w:rPr>
            </w:pPr>
            <w:r>
              <w:t>UE capability for</w:t>
            </w:r>
            <w:r w:rsidR="00931CD3">
              <w:t xml:space="preserve"> </w:t>
            </w:r>
            <w:r w:rsidR="008F347F">
              <w:t xml:space="preserve">DRX state </w:t>
            </w:r>
            <w:r w:rsidR="00221549">
              <w:t>of secondary DR group upon</w:t>
            </w:r>
            <w:r w:rsidR="00DA588A">
              <w:t xml:space="preserve"> </w:t>
            </w:r>
            <w:r w:rsidR="008F347F">
              <w:t xml:space="preserve">SCells </w:t>
            </w:r>
            <w:r w:rsidR="00DA588A">
              <w:t>activation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B5EE96E" w:rsidR="001E41F3" w:rsidRDefault="008F347F" w:rsidP="00324A06">
            <w:pPr>
              <w:pStyle w:val="CRCoverPage"/>
              <w:spacing w:before="20" w:after="20"/>
              <w:ind w:left="100"/>
              <w:rPr>
                <w:noProof/>
              </w:rPr>
            </w:pPr>
            <w:r>
              <w:rPr>
                <w:noProof/>
              </w:rPr>
              <w:t>Qualcomm Incorporated</w:t>
            </w:r>
            <w:r w:rsidR="003401B4">
              <w:rPr>
                <w:noProof/>
              </w:rPr>
              <w:t>,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6FBFFAA" w:rsidR="001E41F3" w:rsidRDefault="003401B4" w:rsidP="00D21E94">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35258A" w:rsidR="001E41F3" w:rsidRDefault="00324A06" w:rsidP="00324A06">
            <w:pPr>
              <w:pStyle w:val="CRCoverPage"/>
              <w:spacing w:before="20" w:after="20"/>
              <w:ind w:left="100"/>
              <w:rPr>
                <w:noProof/>
              </w:rPr>
            </w:pPr>
            <w:r>
              <w:t>20</w:t>
            </w:r>
            <w:r w:rsidR="007066A2">
              <w:t>20</w:t>
            </w:r>
            <w:r>
              <w:t>-</w:t>
            </w:r>
            <w:r w:rsidR="004F0EDF">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B445FA" w:rsidP="00324A06">
            <w:pPr>
              <w:pStyle w:val="CRCoverPage"/>
              <w:spacing w:before="20" w:after="20"/>
              <w:ind w:left="100" w:right="-609"/>
              <w:rPr>
                <w:b/>
                <w:noProof/>
              </w:rPr>
            </w:pPr>
            <w:fldSimple w:instr=" DOCPROPERTY  Cat  \* MERGEFORMAT ">
              <w:r w:rsidR="00D24991">
                <w:rPr>
                  <w:b/>
                  <w:noProof/>
                </w:rPr>
                <w:t>Cat</w:t>
              </w:r>
            </w:fldSimple>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B445FA"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42728" w14:textId="77777777" w:rsidR="00DC1E38" w:rsidRDefault="00DC1E38" w:rsidP="00DC1E38">
            <w:pPr>
              <w:pStyle w:val="CRCoverPage"/>
              <w:spacing w:before="20" w:after="80"/>
              <w:rPr>
                <w:noProof/>
              </w:rPr>
            </w:pPr>
            <w:r>
              <w:rPr>
                <w:noProof/>
              </w:rPr>
              <w:t xml:space="preserve">When secondary DRX group is not configured, all cells in a MAC entity share a common DRX state. Therefore, when a new SCell is activated, which can be performed only when the MAC entity is in DRX Active Time, the SCell starts in DRX Active Time immediately. </w:t>
            </w:r>
          </w:p>
          <w:p w14:paraId="377F1834" w14:textId="77777777" w:rsidR="00DC1E38" w:rsidRDefault="00DC1E38" w:rsidP="00DC1E38">
            <w:pPr>
              <w:pStyle w:val="CRCoverPage"/>
              <w:spacing w:before="20" w:after="80"/>
              <w:rPr>
                <w:noProof/>
              </w:rPr>
            </w:pPr>
            <w:r>
              <w:rPr>
                <w:noProof/>
              </w:rPr>
              <w:t xml:space="preserve">UE behavior can be different when secondary DRX group is configured. That is because if the secondary DRX group is in DRX off time, the corresponding SCell activation MAC CE can be transmitted in the default DRX group. As a result, the SCell activation procedure does not start any DRX timers or change the DRX state of the secondary DRX group. If  the secondary DRX group is not in DRX Active Time when SCell activation is complete, the secondary DRX group does not enter DRX Active Time until the start of its next on duration. </w:t>
            </w:r>
          </w:p>
          <w:p w14:paraId="21D0413C" w14:textId="77777777" w:rsidR="00DC1E38" w:rsidRDefault="00DC1E38" w:rsidP="00DC1E38">
            <w:pPr>
              <w:pStyle w:val="CRCoverPage"/>
              <w:spacing w:before="20" w:after="80"/>
              <w:rPr>
                <w:noProof/>
              </w:rPr>
            </w:pPr>
            <w:r>
              <w:rPr>
                <w:noProof/>
              </w:rPr>
              <w:t xml:space="preserve">Since cross-carrier scheduling can’t be jointly configured with secondary DRX group, the above behavior means that nothing can be scheuled in the secondary DRX group until the start of its next on duration. In the worst case, this delay can be as long as one long DRX cycle. </w:t>
            </w:r>
          </w:p>
          <w:p w14:paraId="4D635311" w14:textId="77777777" w:rsidR="00DC1E38" w:rsidRDefault="00DC1E38" w:rsidP="00DC1E38">
            <w:pPr>
              <w:pStyle w:val="CRCoverPage"/>
              <w:spacing w:before="20" w:after="80"/>
              <w:rPr>
                <w:noProof/>
              </w:rPr>
            </w:pPr>
            <w:r>
              <w:rPr>
                <w:noProof/>
              </w:rPr>
              <w:t>When network activates cell(s) in a secondary DRX group, we expect it does so to increase UE’s throughput, e.g. to offload a sudden surge in traffic. A long delay before newly activated SCells become usable can result in low thoughput for UE when high throughput is critically needed. That would cause poor user experience and hence should be avoided.</w:t>
            </w:r>
          </w:p>
          <w:p w14:paraId="415E8C08" w14:textId="4F1AA3A7" w:rsidR="00016B66" w:rsidRDefault="00E21A6D" w:rsidP="0080484F">
            <w:pPr>
              <w:pStyle w:val="CRCoverPage"/>
              <w:spacing w:before="20" w:after="80"/>
              <w:rPr>
                <w:noProof/>
              </w:rPr>
            </w:pPr>
            <w:r>
              <w:rPr>
                <w:noProof/>
              </w:rPr>
              <w:t xml:space="preserve">This problem can be fixed by starting DRX inactivity timer of a secondary DRX group, if that DRX group is in DRX off time at completion of activation of SCells in that DRX group. </w:t>
            </w:r>
            <w:r w:rsidR="00AC0172">
              <w:rPr>
                <w:noProof/>
              </w:rPr>
              <w:t>To</w:t>
            </w:r>
            <w:r w:rsidR="00F41699">
              <w:rPr>
                <w:noProof/>
              </w:rPr>
              <w:t xml:space="preserve"> avoid </w:t>
            </w:r>
            <w:r w:rsidR="00AC0172">
              <w:rPr>
                <w:noProof/>
              </w:rPr>
              <w:t>potential interoperability</w:t>
            </w:r>
            <w:r w:rsidR="00A66F81">
              <w:rPr>
                <w:noProof/>
              </w:rPr>
              <w:t xml:space="preserve"> issue</w:t>
            </w:r>
            <w:r w:rsidR="001F35D4">
              <w:rPr>
                <w:noProof/>
              </w:rPr>
              <w:t xml:space="preserve"> (</w:t>
            </w:r>
            <w:r w:rsidR="0080484F">
              <w:rPr>
                <w:noProof/>
              </w:rPr>
              <w:t>i.e. if a gNB implement this change but a legacy UE does not)</w:t>
            </w:r>
            <w:r w:rsidR="00A66F81">
              <w:rPr>
                <w:noProof/>
              </w:rPr>
              <w:t xml:space="preserve">, we propose to introduce a UE capability for </w:t>
            </w:r>
            <w:r w:rsidR="0080484F">
              <w:rPr>
                <w:noProof/>
              </w:rPr>
              <w:t>UE to indicate whether it supports this change.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BF90C37" w14:textId="2092D0AD" w:rsidR="00324A06" w:rsidRDefault="00001FC9" w:rsidP="002351EE">
            <w:pPr>
              <w:pStyle w:val="CRCoverPage"/>
              <w:spacing w:before="20" w:after="80"/>
              <w:rPr>
                <w:noProof/>
              </w:rPr>
            </w:pPr>
            <w:r>
              <w:rPr>
                <w:noProof/>
              </w:rPr>
              <w:t>Introduce a new UE capability for UE to indicate that it supports start</w:t>
            </w:r>
            <w:r w:rsidR="002351EE">
              <w:rPr>
                <w:noProof/>
              </w:rPr>
              <w:t>ing</w:t>
            </w:r>
            <w:r>
              <w:rPr>
                <w:noProof/>
              </w:rPr>
              <w:t xml:space="preserve"> DRX inactivity timer in seconday DRX group when </w:t>
            </w:r>
            <w:r w:rsidR="00E21A6D">
              <w:rPr>
                <w:noProof/>
              </w:rPr>
              <w:t>SCell</w:t>
            </w:r>
            <w:r w:rsidR="008B3280">
              <w:rPr>
                <w:noProof/>
              </w:rPr>
              <w:t>(</w:t>
            </w:r>
            <w:r w:rsidR="00E21A6D">
              <w:rPr>
                <w:noProof/>
              </w:rPr>
              <w:t>s</w:t>
            </w:r>
            <w:r w:rsidR="008B3280">
              <w:rPr>
                <w:noProof/>
              </w:rPr>
              <w:t>)</w:t>
            </w:r>
            <w:r w:rsidR="00E21A6D">
              <w:rPr>
                <w:noProof/>
              </w:rPr>
              <w:t xml:space="preserve"> in</w:t>
            </w:r>
            <w:r>
              <w:rPr>
                <w:noProof/>
              </w:rPr>
              <w:t xml:space="preserve"> secondary DRX groups </w:t>
            </w:r>
            <w:r w:rsidR="008B3280">
              <w:rPr>
                <w:noProof/>
              </w:rPr>
              <w:t xml:space="preserve">is </w:t>
            </w:r>
            <w:r>
              <w:rPr>
                <w:noProof/>
              </w:rPr>
              <w:t>activated</w:t>
            </w:r>
            <w:r w:rsidR="008B3280">
              <w:rPr>
                <w:noProof/>
              </w:rPr>
              <w:t xml:space="preserve"> during DRX off time of the secondary DRX group.</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F18C9DD" w:rsidR="00324A06" w:rsidRDefault="002351EE" w:rsidP="002351EE">
            <w:pPr>
              <w:pStyle w:val="CRCoverPage"/>
              <w:spacing w:after="0"/>
              <w:rPr>
                <w:noProof/>
              </w:rPr>
            </w:pPr>
            <w:r>
              <w:rPr>
                <w:noProof/>
              </w:rPr>
              <w:t>Without this UE capability, there can be interoperability issue, if gNB implements this change but legacy UEs do not.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4E31F07" w:rsidR="00324A06" w:rsidRDefault="00251756" w:rsidP="00251756">
            <w:pPr>
              <w:pStyle w:val="CRCoverPage"/>
              <w:spacing w:before="20" w:after="20"/>
              <w:rPr>
                <w:noProof/>
              </w:rPr>
            </w:pPr>
            <w:r>
              <w:rPr>
                <w:noProof/>
              </w:rPr>
              <w:t>4.2.6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304A3B6" w:rsidR="00324A06" w:rsidRDefault="003D5113"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4094B45" w:rsidR="00324A06" w:rsidRDefault="00324A06" w:rsidP="00324A06">
            <w:pPr>
              <w:pStyle w:val="CRCoverPage"/>
              <w:spacing w:after="0"/>
              <w:jc w:val="center"/>
              <w:rPr>
                <w:b/>
                <w:caps/>
                <w:noProof/>
              </w:rPr>
            </w:pPr>
            <w:bookmarkStart w:id="2" w:name="_GoBack"/>
            <w:bookmarkEnd w:id="2"/>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96BA68C" w:rsidR="00324A06" w:rsidRDefault="00324A06" w:rsidP="00324A06">
            <w:pPr>
              <w:pStyle w:val="CRCoverPage"/>
              <w:spacing w:after="0"/>
              <w:ind w:left="99"/>
              <w:rPr>
                <w:noProof/>
              </w:rPr>
            </w:pPr>
            <w:r>
              <w:rPr>
                <w:noProof/>
              </w:rPr>
              <w:t>TS</w:t>
            </w:r>
            <w:r w:rsidR="001C489F">
              <w:rPr>
                <w:noProof/>
              </w:rPr>
              <w:t xml:space="preserve"> 38.321</w:t>
            </w:r>
            <w:r>
              <w:rPr>
                <w:noProof/>
              </w:rPr>
              <w:t xml:space="preserve"> CR </w:t>
            </w:r>
            <w:r w:rsidR="00251756">
              <w:rPr>
                <w:noProof/>
              </w:rPr>
              <w:t>2023</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4BA78CB5" w:rsidR="00324A06" w:rsidRDefault="00324A06" w:rsidP="00324A06">
            <w:pPr>
              <w:pStyle w:val="CRCoverPage"/>
              <w:spacing w:after="0"/>
              <w:ind w:left="99"/>
              <w:rPr>
                <w:noProof/>
              </w:rPr>
            </w:pPr>
            <w:r>
              <w:rPr>
                <w:noProof/>
              </w:rPr>
              <w:t>TS</w:t>
            </w:r>
            <w:r w:rsidR="001C489F">
              <w:rPr>
                <w:noProof/>
              </w:rPr>
              <w:t xml:space="preserve"> 38.331</w:t>
            </w:r>
            <w:r>
              <w:rPr>
                <w:noProof/>
              </w:rPr>
              <w:t xml:space="preserve"> CR </w:t>
            </w:r>
            <w:r w:rsidR="00B445FA">
              <w:rPr>
                <w:noProof/>
              </w:rPr>
              <w:t>0898</w:t>
            </w:r>
            <w:r>
              <w:rPr>
                <w:noProof/>
              </w:rPr>
              <w:t xml:space="preserve">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86792F2" w14:textId="77777777" w:rsidR="007959A9" w:rsidRPr="007959A9" w:rsidRDefault="007959A9" w:rsidP="007959A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r w:rsidRPr="007959A9">
        <w:rPr>
          <w:rFonts w:ascii="Arial" w:hAnsi="Arial"/>
          <w:sz w:val="28"/>
          <w:lang w:eastAsia="ja-JP"/>
        </w:rPr>
        <w:t>4.2.6</w:t>
      </w:r>
      <w:r w:rsidRPr="007959A9">
        <w:rPr>
          <w:rFonts w:ascii="Arial" w:hAnsi="Arial"/>
          <w:sz w:val="28"/>
          <w:lang w:eastAsia="ja-JP"/>
        </w:rPr>
        <w:tab/>
        <w:t>MAC parameters</w:t>
      </w:r>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959A9" w:rsidRPr="007959A9" w14:paraId="2F1E9B57" w14:textId="77777777" w:rsidTr="00F4432A">
        <w:trPr>
          <w:cantSplit/>
          <w:tblHeader/>
        </w:trPr>
        <w:tc>
          <w:tcPr>
            <w:tcW w:w="7088" w:type="dxa"/>
          </w:tcPr>
          <w:p w14:paraId="387D36BD"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Definitions for parameters</w:t>
            </w:r>
          </w:p>
        </w:tc>
        <w:tc>
          <w:tcPr>
            <w:tcW w:w="567" w:type="dxa"/>
          </w:tcPr>
          <w:p w14:paraId="36A9CEF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Per</w:t>
            </w:r>
          </w:p>
        </w:tc>
        <w:tc>
          <w:tcPr>
            <w:tcW w:w="567" w:type="dxa"/>
          </w:tcPr>
          <w:p w14:paraId="2B76DA6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M</w:t>
            </w:r>
          </w:p>
        </w:tc>
        <w:tc>
          <w:tcPr>
            <w:tcW w:w="709" w:type="dxa"/>
          </w:tcPr>
          <w:p w14:paraId="09A5DCD1"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FDD-TDD DIFF</w:t>
            </w:r>
          </w:p>
        </w:tc>
        <w:tc>
          <w:tcPr>
            <w:tcW w:w="708" w:type="dxa"/>
          </w:tcPr>
          <w:p w14:paraId="3B14FC44"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FR1-FR2 DIFF</w:t>
            </w:r>
          </w:p>
        </w:tc>
      </w:tr>
      <w:tr w:rsidR="007959A9" w:rsidRPr="007959A9" w14:paraId="7452A6E2" w14:textId="77777777" w:rsidTr="00F4432A">
        <w:trPr>
          <w:cantSplit/>
          <w:tblHeader/>
        </w:trPr>
        <w:tc>
          <w:tcPr>
            <w:tcW w:w="7088" w:type="dxa"/>
          </w:tcPr>
          <w:p w14:paraId="443A1BE4"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autonomousTransmission-r16</w:t>
            </w:r>
          </w:p>
          <w:p w14:paraId="044CD804"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7959A9">
              <w:rPr>
                <w:rFonts w:ascii="Arial" w:hAnsi="Arial"/>
                <w:i/>
                <w:iCs/>
                <w:sz w:val="18"/>
                <w:lang w:eastAsia="ja-JP"/>
              </w:rPr>
              <w:t>lch-priorityBasedPrioritization-r16</w:t>
            </w:r>
            <w:r w:rsidRPr="007959A9">
              <w:rPr>
                <w:rFonts w:ascii="Arial" w:hAnsi="Arial"/>
                <w:sz w:val="18"/>
                <w:lang w:eastAsia="ja-JP"/>
              </w:rPr>
              <w:t>.</w:t>
            </w:r>
          </w:p>
        </w:tc>
        <w:tc>
          <w:tcPr>
            <w:tcW w:w="567" w:type="dxa"/>
          </w:tcPr>
          <w:p w14:paraId="1307D14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2DF4FAC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2A4621B4"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5F87B5B4"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r>
      <w:tr w:rsidR="007959A9" w:rsidRPr="007959A9" w14:paraId="3B9A0001" w14:textId="77777777" w:rsidTr="00F4432A">
        <w:trPr>
          <w:cantSplit/>
          <w:tblHeader/>
        </w:trPr>
        <w:tc>
          <w:tcPr>
            <w:tcW w:w="7088" w:type="dxa"/>
          </w:tcPr>
          <w:p w14:paraId="21D92CE8"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directMCG-SCellActivation-r16</w:t>
            </w:r>
          </w:p>
          <w:p w14:paraId="239C7D0D"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Indicates whether the UE supports direct NR MCG SCell activation, </w:t>
            </w:r>
            <w:r w:rsidRPr="007959A9">
              <w:rPr>
                <w:rFonts w:ascii="Arial" w:hAnsi="Arial"/>
                <w:sz w:val="18"/>
                <w:lang w:eastAsia="ja-JP"/>
              </w:rPr>
              <w:t xml:space="preserve">as specified in TS 38.321 [8], </w:t>
            </w:r>
            <w:r w:rsidRPr="007959A9">
              <w:rPr>
                <w:rFonts w:ascii="Arial" w:hAnsi="Arial" w:cs="Arial"/>
                <w:bCs/>
                <w:iCs/>
                <w:sz w:val="18"/>
                <w:szCs w:val="18"/>
                <w:lang w:eastAsia="ja-JP"/>
              </w:rPr>
              <w:t>upon SCell addition, upon reconfiguration with sync of the MCG,</w:t>
            </w:r>
            <w:r w:rsidRPr="007959A9">
              <w:rPr>
                <w:rFonts w:ascii="Arial" w:hAnsi="Arial"/>
                <w:sz w:val="18"/>
                <w:lang w:eastAsia="ja-JP"/>
              </w:rPr>
              <w:t xml:space="preserve"> as specified in TS 38.331 [9]</w:t>
            </w:r>
            <w:r w:rsidRPr="007959A9">
              <w:rPr>
                <w:rFonts w:ascii="Arial" w:hAnsi="Arial" w:cs="Arial"/>
                <w:bCs/>
                <w:iCs/>
                <w:sz w:val="18"/>
                <w:szCs w:val="18"/>
                <w:lang w:eastAsia="ja-JP"/>
              </w:rPr>
              <w:t>.</w:t>
            </w:r>
          </w:p>
        </w:tc>
        <w:tc>
          <w:tcPr>
            <w:tcW w:w="567" w:type="dxa"/>
          </w:tcPr>
          <w:p w14:paraId="45761B1D"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5EFAF4A3"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5C87E78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64CA2FD6"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7959A9" w:rsidRPr="007959A9" w14:paraId="7CCBE02A" w14:textId="77777777" w:rsidTr="00F4432A">
        <w:trPr>
          <w:cantSplit/>
          <w:tblHeader/>
        </w:trPr>
        <w:tc>
          <w:tcPr>
            <w:tcW w:w="7088" w:type="dxa"/>
          </w:tcPr>
          <w:p w14:paraId="1DFF0959"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directMCG-SCellActivationResume-r16</w:t>
            </w:r>
          </w:p>
          <w:p w14:paraId="5C164CC9"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Indicates whether the UE supports direct NR MCG SCell activation, </w:t>
            </w:r>
            <w:r w:rsidRPr="007959A9">
              <w:rPr>
                <w:rFonts w:ascii="Arial" w:hAnsi="Arial"/>
                <w:sz w:val="18"/>
                <w:lang w:eastAsia="ja-JP"/>
              </w:rPr>
              <w:t xml:space="preserve">as specified in TS 38.321 [8], </w:t>
            </w:r>
            <w:r w:rsidRPr="007959A9">
              <w:rPr>
                <w:rFonts w:ascii="Arial" w:hAnsi="Arial" w:cs="Arial"/>
                <w:bCs/>
                <w:iCs/>
                <w:sz w:val="18"/>
                <w:szCs w:val="18"/>
                <w:lang w:eastAsia="ja-JP"/>
              </w:rPr>
              <w:t xml:space="preserve">upon reception of an </w:t>
            </w:r>
            <w:proofErr w:type="spellStart"/>
            <w:r w:rsidRPr="007959A9">
              <w:rPr>
                <w:rFonts w:ascii="Arial" w:hAnsi="Arial" w:cs="Arial"/>
                <w:bCs/>
                <w:i/>
                <w:iCs/>
                <w:sz w:val="18"/>
                <w:szCs w:val="18"/>
                <w:lang w:eastAsia="ja-JP"/>
              </w:rPr>
              <w:t>RRCResume</w:t>
            </w:r>
            <w:proofErr w:type="spellEnd"/>
            <w:r w:rsidRPr="007959A9">
              <w:rPr>
                <w:rFonts w:ascii="Arial" w:hAnsi="Arial"/>
                <w:sz w:val="18"/>
                <w:lang w:eastAsia="ja-JP"/>
              </w:rPr>
              <w:t xml:space="preserve"> message, as specified in TS 38.331 [9].</w:t>
            </w:r>
          </w:p>
        </w:tc>
        <w:tc>
          <w:tcPr>
            <w:tcW w:w="567" w:type="dxa"/>
          </w:tcPr>
          <w:p w14:paraId="5E8C905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518B155A"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5FBF082B"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3EA937BB"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7959A9" w:rsidRPr="007959A9" w14:paraId="513B1B62" w14:textId="77777777" w:rsidTr="00F4432A">
        <w:trPr>
          <w:cantSplit/>
          <w:tblHeader/>
        </w:trPr>
        <w:tc>
          <w:tcPr>
            <w:tcW w:w="7088" w:type="dxa"/>
          </w:tcPr>
          <w:p w14:paraId="3463A64B"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directSCG-SCellActivation-r16</w:t>
            </w:r>
          </w:p>
          <w:p w14:paraId="6DEF489C"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 xml:space="preserve">Indicates whether the UE supports </w:t>
            </w:r>
            <w:r w:rsidRPr="007959A9">
              <w:rPr>
                <w:rFonts w:ascii="Arial" w:hAnsi="Arial"/>
                <w:sz w:val="18"/>
                <w:lang w:eastAsia="ja-JP"/>
              </w:rPr>
              <w:t xml:space="preserve">direct NR SCG SCell activation, as specified in TS 38.321 [8], </w:t>
            </w:r>
            <w:r w:rsidRPr="007959A9">
              <w:rPr>
                <w:rFonts w:ascii="Arial" w:hAnsi="Arial" w:cs="Arial"/>
                <w:bCs/>
                <w:iCs/>
                <w:sz w:val="18"/>
                <w:szCs w:val="18"/>
                <w:lang w:eastAsia="ja-JP"/>
              </w:rPr>
              <w:t xml:space="preserve">upon SCell addition and upon reconfiguration with sync of the SCG, both performed via an </w:t>
            </w:r>
            <w:proofErr w:type="spellStart"/>
            <w:r w:rsidRPr="007959A9">
              <w:rPr>
                <w:rFonts w:ascii="Arial" w:hAnsi="Arial" w:cs="Arial"/>
                <w:bCs/>
                <w:i/>
                <w:iCs/>
                <w:sz w:val="18"/>
                <w:szCs w:val="18"/>
                <w:lang w:eastAsia="ja-JP"/>
              </w:rPr>
              <w:t>RRCReconfiguration</w:t>
            </w:r>
            <w:proofErr w:type="spellEnd"/>
            <w:r w:rsidRPr="007959A9">
              <w:rPr>
                <w:rFonts w:ascii="Arial" w:hAnsi="Arial" w:cs="Arial"/>
                <w:bCs/>
                <w:iCs/>
                <w:sz w:val="18"/>
                <w:szCs w:val="18"/>
                <w:lang w:eastAsia="ja-JP"/>
              </w:rPr>
              <w:t xml:space="preserve"> message received via SRB3 or contained in an </w:t>
            </w:r>
            <w:r w:rsidRPr="007959A9">
              <w:rPr>
                <w:rFonts w:ascii="Arial" w:hAnsi="Arial" w:cs="Arial"/>
                <w:bCs/>
                <w:i/>
                <w:iCs/>
                <w:sz w:val="18"/>
                <w:szCs w:val="18"/>
                <w:lang w:eastAsia="ja-JP"/>
              </w:rPr>
              <w:t>RRC(Connection)Reconfiguration</w:t>
            </w:r>
            <w:r w:rsidRPr="007959A9">
              <w:rPr>
                <w:rFonts w:ascii="Arial" w:hAnsi="Arial" w:cs="Arial"/>
                <w:bCs/>
                <w:iCs/>
                <w:sz w:val="18"/>
                <w:szCs w:val="18"/>
                <w:lang w:eastAsia="ja-JP"/>
              </w:rPr>
              <w:t xml:space="preserve"> message received via SRB1, as specified in </w:t>
            </w:r>
            <w:r w:rsidRPr="007959A9">
              <w:rPr>
                <w:rFonts w:ascii="Arial" w:hAnsi="Arial"/>
                <w:sz w:val="18"/>
                <w:lang w:eastAsia="ja-JP"/>
              </w:rPr>
              <w:t>TS 38.331 [9] and TS 36.331 [17]</w:t>
            </w:r>
            <w:r w:rsidRPr="007959A9">
              <w:rPr>
                <w:rFonts w:ascii="Arial" w:hAnsi="Arial" w:cs="Arial"/>
                <w:bCs/>
                <w:iCs/>
                <w:sz w:val="18"/>
                <w:szCs w:val="18"/>
                <w:lang w:eastAsia="ja-JP"/>
              </w:rPr>
              <w:t>.</w:t>
            </w:r>
          </w:p>
          <w:p w14:paraId="0FC17FD0"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A UE indicating support of </w:t>
            </w:r>
            <w:r w:rsidRPr="007959A9">
              <w:rPr>
                <w:rFonts w:ascii="Arial" w:hAnsi="Arial" w:cs="Arial"/>
                <w:bCs/>
                <w:i/>
                <w:iCs/>
                <w:sz w:val="18"/>
                <w:szCs w:val="18"/>
                <w:lang w:eastAsia="ja-JP"/>
              </w:rPr>
              <w:t>directSCG-SCellActivation-r16</w:t>
            </w:r>
            <w:r w:rsidRPr="007959A9">
              <w:rPr>
                <w:rFonts w:ascii="Arial" w:hAnsi="Arial" w:cs="Arial"/>
                <w:bCs/>
                <w:iCs/>
                <w:sz w:val="18"/>
                <w:szCs w:val="18"/>
                <w:lang w:eastAsia="ja-JP"/>
              </w:rPr>
              <w:t xml:space="preserve"> shall indicate support of EN-DC or support of NGEN-DC as specified in TS 36.331 [17] or support of </w:t>
            </w:r>
            <w:r w:rsidRPr="007959A9">
              <w:rPr>
                <w:rFonts w:ascii="Arial" w:hAnsi="Arial" w:cs="Arial"/>
                <w:bCs/>
                <w:i/>
                <w:iCs/>
                <w:sz w:val="18"/>
                <w:szCs w:val="18"/>
                <w:lang w:eastAsia="ja-JP"/>
              </w:rPr>
              <w:t>nr-dc</w:t>
            </w:r>
            <w:r w:rsidRPr="007959A9">
              <w:rPr>
                <w:rFonts w:ascii="Arial" w:hAnsi="Arial" w:cs="Arial"/>
                <w:bCs/>
                <w:iCs/>
                <w:sz w:val="18"/>
                <w:szCs w:val="18"/>
                <w:lang w:eastAsia="ja-JP"/>
              </w:rPr>
              <w:t xml:space="preserve"> as specified in TS 38.331 [9].</w:t>
            </w:r>
          </w:p>
        </w:tc>
        <w:tc>
          <w:tcPr>
            <w:tcW w:w="567" w:type="dxa"/>
          </w:tcPr>
          <w:p w14:paraId="0D50FAD9"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76B417B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75FED33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4BFA026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7959A9" w:rsidRPr="007959A9" w14:paraId="661B7DCA" w14:textId="77777777" w:rsidTr="00F4432A">
        <w:trPr>
          <w:cantSplit/>
          <w:tblHeader/>
        </w:trPr>
        <w:tc>
          <w:tcPr>
            <w:tcW w:w="7088" w:type="dxa"/>
          </w:tcPr>
          <w:p w14:paraId="63966301"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directSCG-SCellActivationResume-r16</w:t>
            </w:r>
          </w:p>
          <w:p w14:paraId="1B61067D"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Indicates whether the UE supports</w:t>
            </w:r>
            <w:r w:rsidRPr="007959A9">
              <w:rPr>
                <w:rFonts w:ascii="Arial" w:hAnsi="Arial"/>
                <w:sz w:val="18"/>
                <w:lang w:eastAsia="ja-JP"/>
              </w:rPr>
              <w:t xml:space="preserve"> direct NR SCG SCell activation, as specified in TS 38.321 [8]:</w:t>
            </w:r>
          </w:p>
          <w:p w14:paraId="7442BD2D"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w:t>
            </w:r>
            <w:r w:rsidRPr="007959A9">
              <w:rPr>
                <w:rFonts w:ascii="Arial" w:hAnsi="Arial" w:cs="Arial"/>
                <w:bCs/>
                <w:iCs/>
                <w:sz w:val="18"/>
                <w:szCs w:val="18"/>
                <w:lang w:eastAsia="ja-JP"/>
              </w:rPr>
              <w:tab/>
              <w:t xml:space="preserve">upon reception of an </w:t>
            </w:r>
            <w:proofErr w:type="spellStart"/>
            <w:r w:rsidRPr="007959A9">
              <w:rPr>
                <w:rFonts w:ascii="Arial" w:hAnsi="Arial" w:cs="Arial"/>
                <w:bCs/>
                <w:i/>
                <w:iCs/>
                <w:sz w:val="18"/>
                <w:szCs w:val="18"/>
                <w:lang w:eastAsia="ja-JP"/>
              </w:rPr>
              <w:t>RRCReconfiguration</w:t>
            </w:r>
            <w:proofErr w:type="spellEnd"/>
            <w:r w:rsidRPr="007959A9">
              <w:rPr>
                <w:rFonts w:ascii="Arial" w:hAnsi="Arial" w:cs="Arial"/>
                <w:bCs/>
                <w:iCs/>
                <w:sz w:val="18"/>
                <w:szCs w:val="18"/>
                <w:lang w:eastAsia="ja-JP"/>
              </w:rPr>
              <w:t xml:space="preserve"> included in an </w:t>
            </w:r>
            <w:proofErr w:type="spellStart"/>
            <w:r w:rsidRPr="007959A9">
              <w:rPr>
                <w:rFonts w:ascii="Arial" w:hAnsi="Arial" w:cs="Arial"/>
                <w:bCs/>
                <w:i/>
                <w:iCs/>
                <w:sz w:val="18"/>
                <w:szCs w:val="18"/>
                <w:lang w:eastAsia="ja-JP"/>
              </w:rPr>
              <w:t>RRCConnectionResume</w:t>
            </w:r>
            <w:proofErr w:type="spellEnd"/>
            <w:r w:rsidRPr="007959A9">
              <w:rPr>
                <w:rFonts w:ascii="Arial" w:hAnsi="Arial" w:cs="Arial"/>
                <w:bCs/>
                <w:iCs/>
                <w:sz w:val="18"/>
                <w:szCs w:val="18"/>
                <w:lang w:eastAsia="ja-JP"/>
              </w:rPr>
              <w:t xml:space="preserve"> message, </w:t>
            </w:r>
            <w:r w:rsidRPr="007959A9">
              <w:rPr>
                <w:rFonts w:ascii="Arial" w:hAnsi="Arial"/>
                <w:sz w:val="18"/>
                <w:lang w:eastAsia="ja-JP"/>
              </w:rPr>
              <w:t>as specified in TS 38.331 [9] and TS 36.331 [17],</w:t>
            </w:r>
            <w:r w:rsidRPr="007959A9">
              <w:rPr>
                <w:rFonts w:ascii="Arial" w:hAnsi="Arial" w:cs="Arial"/>
                <w:bCs/>
                <w:iCs/>
                <w:sz w:val="18"/>
                <w:szCs w:val="18"/>
                <w:lang w:eastAsia="ja-JP"/>
              </w:rPr>
              <w:t xml:space="preserve"> if the UE indicates support of </w:t>
            </w:r>
            <w:proofErr w:type="spellStart"/>
            <w:r w:rsidRPr="007959A9">
              <w:rPr>
                <w:rFonts w:ascii="Arial" w:hAnsi="Arial" w:cs="Arial"/>
                <w:bCs/>
                <w:i/>
                <w:iCs/>
                <w:sz w:val="18"/>
                <w:szCs w:val="18"/>
                <w:lang w:eastAsia="ja-JP"/>
              </w:rPr>
              <w:t>en</w:t>
            </w:r>
            <w:proofErr w:type="spellEnd"/>
            <w:r w:rsidRPr="007959A9">
              <w:rPr>
                <w:rFonts w:ascii="Arial" w:hAnsi="Arial" w:cs="Arial"/>
                <w:bCs/>
                <w:i/>
                <w:iCs/>
                <w:sz w:val="18"/>
                <w:szCs w:val="18"/>
                <w:lang w:eastAsia="ja-JP"/>
              </w:rPr>
              <w:t>-dc</w:t>
            </w:r>
            <w:r w:rsidRPr="007959A9">
              <w:rPr>
                <w:rFonts w:ascii="Arial" w:hAnsi="Arial" w:cs="Arial"/>
                <w:bCs/>
                <w:iCs/>
                <w:sz w:val="18"/>
                <w:szCs w:val="18"/>
                <w:lang w:eastAsia="ja-JP"/>
              </w:rPr>
              <w:t xml:space="preserve"> and of </w:t>
            </w:r>
            <w:r w:rsidRPr="007959A9">
              <w:rPr>
                <w:rFonts w:ascii="Arial" w:hAnsi="Arial" w:cs="Arial"/>
                <w:bCs/>
                <w:i/>
                <w:iCs/>
                <w:sz w:val="18"/>
                <w:szCs w:val="18"/>
                <w:lang w:eastAsia="ja-JP"/>
              </w:rPr>
              <w:t>resumeWithSCG-Config-r16</w:t>
            </w:r>
            <w:r w:rsidRPr="007959A9">
              <w:rPr>
                <w:rFonts w:ascii="Arial" w:hAnsi="Arial" w:cs="Arial"/>
                <w:bCs/>
                <w:iCs/>
                <w:sz w:val="18"/>
                <w:szCs w:val="18"/>
                <w:lang w:eastAsia="ja-JP"/>
              </w:rPr>
              <w:t xml:space="preserve"> as specified in TS 36.331 [17],</w:t>
            </w:r>
          </w:p>
          <w:p w14:paraId="3F606A66"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w:t>
            </w:r>
            <w:r w:rsidRPr="007959A9">
              <w:rPr>
                <w:rFonts w:ascii="Arial" w:hAnsi="Arial" w:cs="Arial"/>
                <w:bCs/>
                <w:iCs/>
                <w:sz w:val="18"/>
                <w:szCs w:val="18"/>
                <w:lang w:eastAsia="ja-JP"/>
              </w:rPr>
              <w:tab/>
              <w:t xml:space="preserve">upon reception of an </w:t>
            </w:r>
            <w:proofErr w:type="spellStart"/>
            <w:r w:rsidRPr="007959A9">
              <w:rPr>
                <w:rFonts w:ascii="Arial" w:hAnsi="Arial" w:cs="Arial"/>
                <w:bCs/>
                <w:i/>
                <w:iCs/>
                <w:sz w:val="18"/>
                <w:szCs w:val="18"/>
                <w:lang w:eastAsia="ja-JP"/>
              </w:rPr>
              <w:t>RRCReconfiguration</w:t>
            </w:r>
            <w:proofErr w:type="spellEnd"/>
            <w:r w:rsidRPr="007959A9">
              <w:rPr>
                <w:rFonts w:ascii="Arial" w:hAnsi="Arial" w:cs="Arial"/>
                <w:bCs/>
                <w:iCs/>
                <w:sz w:val="18"/>
                <w:szCs w:val="18"/>
                <w:lang w:eastAsia="ja-JP"/>
              </w:rPr>
              <w:t xml:space="preserve"> included in an </w:t>
            </w:r>
            <w:proofErr w:type="spellStart"/>
            <w:r w:rsidRPr="007959A9">
              <w:rPr>
                <w:rFonts w:ascii="Arial" w:hAnsi="Arial" w:cs="Arial"/>
                <w:bCs/>
                <w:i/>
                <w:iCs/>
                <w:sz w:val="18"/>
                <w:szCs w:val="18"/>
                <w:lang w:eastAsia="ja-JP"/>
              </w:rPr>
              <w:t>RRCResume</w:t>
            </w:r>
            <w:proofErr w:type="spellEnd"/>
            <w:r w:rsidRPr="007959A9">
              <w:rPr>
                <w:rFonts w:ascii="Arial" w:hAnsi="Arial" w:cs="Arial"/>
                <w:bCs/>
                <w:iCs/>
                <w:sz w:val="18"/>
                <w:szCs w:val="18"/>
                <w:lang w:eastAsia="ja-JP"/>
              </w:rPr>
              <w:t xml:space="preserve"> message, </w:t>
            </w:r>
            <w:r w:rsidRPr="007959A9">
              <w:rPr>
                <w:rFonts w:ascii="Arial" w:hAnsi="Arial"/>
                <w:sz w:val="18"/>
                <w:lang w:eastAsia="ja-JP"/>
              </w:rPr>
              <w:t xml:space="preserve">as specified in TS 38.331 [9], </w:t>
            </w:r>
            <w:r w:rsidRPr="007959A9">
              <w:rPr>
                <w:rFonts w:ascii="Arial" w:hAnsi="Arial" w:cs="Arial"/>
                <w:bCs/>
                <w:iCs/>
                <w:sz w:val="18"/>
                <w:szCs w:val="18"/>
                <w:lang w:eastAsia="ja-JP"/>
              </w:rPr>
              <w:t xml:space="preserve">if the UE indicates support of </w:t>
            </w:r>
            <w:r w:rsidRPr="007959A9">
              <w:rPr>
                <w:rFonts w:ascii="Arial" w:hAnsi="Arial" w:cs="Arial"/>
                <w:bCs/>
                <w:i/>
                <w:iCs/>
                <w:sz w:val="18"/>
                <w:szCs w:val="18"/>
                <w:lang w:eastAsia="ja-JP"/>
              </w:rPr>
              <w:t>nr-dc</w:t>
            </w:r>
            <w:r w:rsidRPr="007959A9">
              <w:rPr>
                <w:rFonts w:ascii="Arial" w:hAnsi="Arial" w:cs="Arial"/>
                <w:bCs/>
                <w:iCs/>
                <w:sz w:val="18"/>
                <w:szCs w:val="18"/>
                <w:lang w:eastAsia="ja-JP"/>
              </w:rPr>
              <w:t xml:space="preserve"> and of </w:t>
            </w:r>
            <w:r w:rsidRPr="007959A9">
              <w:rPr>
                <w:rFonts w:ascii="Arial" w:hAnsi="Arial" w:cs="Arial"/>
                <w:bCs/>
                <w:i/>
                <w:iCs/>
                <w:sz w:val="18"/>
                <w:szCs w:val="18"/>
                <w:lang w:eastAsia="ja-JP"/>
              </w:rPr>
              <w:t>resumeWithSCG-Config-r16</w:t>
            </w:r>
            <w:r w:rsidRPr="007959A9">
              <w:rPr>
                <w:rFonts w:ascii="Arial" w:hAnsi="Arial" w:cs="Arial"/>
                <w:bCs/>
                <w:iCs/>
                <w:sz w:val="18"/>
                <w:szCs w:val="18"/>
                <w:lang w:eastAsia="ja-JP"/>
              </w:rPr>
              <w:t xml:space="preserve"> as specified in TS 38.331 [9]</w:t>
            </w:r>
            <w:r w:rsidRPr="007959A9">
              <w:rPr>
                <w:rFonts w:ascii="Arial" w:hAnsi="Arial"/>
                <w:sz w:val="18"/>
                <w:lang w:eastAsia="ja-JP"/>
              </w:rPr>
              <w:t>.</w:t>
            </w:r>
          </w:p>
          <w:p w14:paraId="70DE990D"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A UE indicating support of </w:t>
            </w:r>
            <w:r w:rsidRPr="007959A9">
              <w:rPr>
                <w:rFonts w:ascii="Arial" w:hAnsi="Arial" w:cs="Arial"/>
                <w:bCs/>
                <w:i/>
                <w:iCs/>
                <w:sz w:val="18"/>
                <w:szCs w:val="18"/>
                <w:lang w:eastAsia="ja-JP"/>
              </w:rPr>
              <w:t>directSCG-SCellActivationResume-r16</w:t>
            </w:r>
            <w:r w:rsidRPr="007959A9">
              <w:rPr>
                <w:rFonts w:ascii="Arial" w:hAnsi="Arial" w:cs="Arial"/>
                <w:bCs/>
                <w:iCs/>
                <w:sz w:val="18"/>
                <w:szCs w:val="18"/>
                <w:lang w:eastAsia="ja-JP"/>
              </w:rPr>
              <w:t xml:space="preserve"> shall indicate support of EN-DC or NGEN-DC and support of </w:t>
            </w:r>
            <w:r w:rsidRPr="007959A9">
              <w:rPr>
                <w:rFonts w:ascii="Arial" w:hAnsi="Arial" w:cs="Arial"/>
                <w:bCs/>
                <w:i/>
                <w:iCs/>
                <w:sz w:val="18"/>
                <w:szCs w:val="18"/>
                <w:lang w:eastAsia="ja-JP"/>
              </w:rPr>
              <w:t>resumeWithSCG-Config-r16</w:t>
            </w:r>
            <w:r w:rsidRPr="007959A9">
              <w:rPr>
                <w:rFonts w:ascii="Arial" w:hAnsi="Arial" w:cs="Arial"/>
                <w:bCs/>
                <w:iCs/>
                <w:sz w:val="18"/>
                <w:szCs w:val="18"/>
                <w:lang w:eastAsia="ja-JP"/>
              </w:rPr>
              <w:t xml:space="preserve"> as specified in TS 36.331 [17] or indicate support of </w:t>
            </w:r>
            <w:r w:rsidRPr="007959A9">
              <w:rPr>
                <w:rFonts w:ascii="Arial" w:hAnsi="Arial" w:cs="Arial"/>
                <w:bCs/>
                <w:i/>
                <w:iCs/>
                <w:sz w:val="18"/>
                <w:szCs w:val="18"/>
                <w:lang w:eastAsia="ja-JP"/>
              </w:rPr>
              <w:t>nr-dc</w:t>
            </w:r>
            <w:r w:rsidRPr="007959A9">
              <w:rPr>
                <w:rFonts w:ascii="Arial" w:hAnsi="Arial" w:cs="Arial"/>
                <w:bCs/>
                <w:iCs/>
                <w:sz w:val="18"/>
                <w:szCs w:val="18"/>
                <w:lang w:eastAsia="ja-JP"/>
              </w:rPr>
              <w:t xml:space="preserve"> and of </w:t>
            </w:r>
            <w:r w:rsidRPr="007959A9">
              <w:rPr>
                <w:rFonts w:ascii="Arial" w:hAnsi="Arial" w:cs="Arial"/>
                <w:bCs/>
                <w:i/>
                <w:iCs/>
                <w:sz w:val="18"/>
                <w:szCs w:val="18"/>
                <w:lang w:eastAsia="ja-JP"/>
              </w:rPr>
              <w:t>resumeWithSCG-Config-r16</w:t>
            </w:r>
            <w:r w:rsidRPr="007959A9">
              <w:rPr>
                <w:rFonts w:ascii="Arial" w:hAnsi="Arial" w:cs="Arial"/>
                <w:bCs/>
                <w:iCs/>
                <w:sz w:val="18"/>
                <w:szCs w:val="18"/>
                <w:lang w:eastAsia="ja-JP"/>
              </w:rPr>
              <w:t xml:space="preserve"> as specified in TS 38.331 [9]</w:t>
            </w:r>
            <w:r w:rsidRPr="007959A9">
              <w:rPr>
                <w:rFonts w:ascii="Arial" w:hAnsi="Arial"/>
                <w:sz w:val="18"/>
                <w:lang w:eastAsia="ja-JP"/>
              </w:rPr>
              <w:t>.</w:t>
            </w:r>
          </w:p>
        </w:tc>
        <w:tc>
          <w:tcPr>
            <w:tcW w:w="567" w:type="dxa"/>
          </w:tcPr>
          <w:p w14:paraId="26A28B4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44C6BAF3"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16FEDC0A"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4A4C245A"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7959A9" w:rsidRPr="007959A9" w14:paraId="2D269B67" w14:textId="77777777" w:rsidTr="00F4432A">
        <w:trPr>
          <w:cantSplit/>
          <w:tblHeader/>
        </w:trPr>
        <w:tc>
          <w:tcPr>
            <w:tcW w:w="7088" w:type="dxa"/>
          </w:tcPr>
          <w:p w14:paraId="47B59A34"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drx-Adaptation-r16</w:t>
            </w:r>
          </w:p>
          <w:p w14:paraId="1CE9A558"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Indicates whether the UE supports DRX adaptation comprised of the following functional components:</w:t>
            </w:r>
          </w:p>
          <w:p w14:paraId="4A78DC63"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Configured</w:t>
            </w:r>
            <w:r w:rsidRPr="007959A9">
              <w:rPr>
                <w:rFonts w:ascii="Arial" w:hAnsi="Arial" w:cs="Arial"/>
                <w:i/>
                <w:sz w:val="18"/>
                <w:szCs w:val="18"/>
                <w:lang w:eastAsia="ja-JP"/>
              </w:rPr>
              <w:t xml:space="preserve"> </w:t>
            </w:r>
            <w:proofErr w:type="spellStart"/>
            <w:r w:rsidRPr="007959A9">
              <w:rPr>
                <w:rFonts w:ascii="Arial" w:hAnsi="Arial" w:cs="Arial"/>
                <w:i/>
                <w:sz w:val="18"/>
                <w:szCs w:val="18"/>
                <w:lang w:eastAsia="ja-JP"/>
              </w:rPr>
              <w:t>PS_offset</w:t>
            </w:r>
            <w:proofErr w:type="spellEnd"/>
            <w:r w:rsidRPr="007959A9">
              <w:rPr>
                <w:rFonts w:ascii="Arial" w:hAnsi="Arial" w:cs="Arial"/>
                <w:i/>
                <w:sz w:val="18"/>
                <w:szCs w:val="18"/>
                <w:lang w:eastAsia="ja-JP"/>
              </w:rPr>
              <w:t xml:space="preserve"> </w:t>
            </w:r>
            <w:r w:rsidRPr="007959A9">
              <w:rPr>
                <w:rFonts w:ascii="Arial" w:hAnsi="Arial" w:cs="Arial"/>
                <w:sz w:val="18"/>
                <w:szCs w:val="18"/>
                <w:lang w:eastAsia="ja-JP"/>
              </w:rPr>
              <w:t>for the detection of DCI format 2_</w:t>
            </w:r>
            <w:proofErr w:type="gramStart"/>
            <w:r w:rsidRPr="007959A9">
              <w:rPr>
                <w:rFonts w:ascii="Arial" w:hAnsi="Arial" w:cs="Arial"/>
                <w:sz w:val="18"/>
                <w:szCs w:val="18"/>
                <w:lang w:eastAsia="ja-JP"/>
              </w:rPr>
              <w:t>6  with</w:t>
            </w:r>
            <w:proofErr w:type="gramEnd"/>
            <w:r w:rsidRPr="007959A9">
              <w:rPr>
                <w:rFonts w:ascii="Arial" w:hAnsi="Arial" w:cs="Arial"/>
                <w:sz w:val="18"/>
                <w:szCs w:val="18"/>
                <w:lang w:eastAsia="ja-JP"/>
              </w:rPr>
              <w:t xml:space="preserve"> CRC scrambling by PS-RNTI and reported minimum time gap before the start of </w:t>
            </w:r>
            <w:proofErr w:type="spellStart"/>
            <w:r w:rsidRPr="007959A9">
              <w:rPr>
                <w:rFonts w:ascii="Arial" w:hAnsi="Arial" w:cs="Arial"/>
                <w:i/>
                <w:sz w:val="18"/>
                <w:szCs w:val="18"/>
                <w:lang w:eastAsia="ja-JP"/>
              </w:rPr>
              <w:t>drx_onDurationTimer</w:t>
            </w:r>
            <w:proofErr w:type="spellEnd"/>
          </w:p>
          <w:p w14:paraId="19AB9D61"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 xml:space="preserve">Indication of UE </w:t>
            </w:r>
            <w:proofErr w:type="gramStart"/>
            <w:r w:rsidRPr="007959A9">
              <w:rPr>
                <w:rFonts w:ascii="Arial" w:hAnsi="Arial" w:cs="Arial"/>
                <w:sz w:val="18"/>
                <w:szCs w:val="18"/>
                <w:lang w:eastAsia="ja-JP"/>
              </w:rPr>
              <w:t>whether  or</w:t>
            </w:r>
            <w:proofErr w:type="gramEnd"/>
            <w:r w:rsidRPr="007959A9">
              <w:rPr>
                <w:rFonts w:ascii="Arial" w:hAnsi="Arial" w:cs="Arial"/>
                <w:sz w:val="18"/>
                <w:szCs w:val="18"/>
                <w:lang w:eastAsia="ja-JP"/>
              </w:rPr>
              <w:t xml:space="preserve"> not to start </w:t>
            </w:r>
            <w:proofErr w:type="spellStart"/>
            <w:r w:rsidRPr="007959A9">
              <w:rPr>
                <w:rFonts w:ascii="Arial" w:hAnsi="Arial" w:cs="Arial"/>
                <w:i/>
                <w:sz w:val="18"/>
                <w:szCs w:val="18"/>
                <w:lang w:eastAsia="ja-JP"/>
              </w:rPr>
              <w:t>drx_OnDuration</w:t>
            </w:r>
            <w:proofErr w:type="spellEnd"/>
            <w:r w:rsidRPr="007959A9">
              <w:rPr>
                <w:rFonts w:ascii="Arial" w:hAnsi="Arial" w:cs="Arial"/>
                <w:i/>
                <w:sz w:val="18"/>
                <w:szCs w:val="18"/>
                <w:lang w:eastAsia="ja-JP"/>
              </w:rPr>
              <w:t xml:space="preserve"> timer</w:t>
            </w:r>
            <w:r w:rsidRPr="007959A9">
              <w:rPr>
                <w:rFonts w:ascii="Arial" w:hAnsi="Arial" w:cs="Arial"/>
                <w:sz w:val="18"/>
                <w:szCs w:val="18"/>
                <w:lang w:eastAsia="ja-JP"/>
              </w:rPr>
              <w:t xml:space="preserve"> for the next DRX cycle by detection of DCI format 2_6</w:t>
            </w:r>
          </w:p>
          <w:p w14:paraId="67C15CCA"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Configured UE wakeup or not when DCI format 2_6 is not detected at all monitoring occasions outside Active time</w:t>
            </w:r>
          </w:p>
          <w:p w14:paraId="0011A753"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Configured periodic CSI report apart from L1-RSRP when impacted by DCI format 2_6 that</w:t>
            </w:r>
            <w:r w:rsidRPr="007959A9">
              <w:rPr>
                <w:rFonts w:ascii="Arial" w:hAnsi="Arial" w:cs="Arial"/>
                <w:i/>
                <w:sz w:val="18"/>
                <w:szCs w:val="18"/>
                <w:lang w:eastAsia="ja-JP"/>
              </w:rPr>
              <w:t xml:space="preserve"> </w:t>
            </w:r>
            <w:proofErr w:type="spellStart"/>
            <w:r w:rsidRPr="007959A9">
              <w:rPr>
                <w:rFonts w:ascii="Arial" w:hAnsi="Arial" w:cs="Arial"/>
                <w:i/>
                <w:sz w:val="18"/>
                <w:szCs w:val="18"/>
                <w:lang w:eastAsia="ja-JP"/>
              </w:rPr>
              <w:t>drx_OnDurationTimer</w:t>
            </w:r>
            <w:proofErr w:type="spellEnd"/>
            <w:r w:rsidRPr="007959A9">
              <w:rPr>
                <w:rFonts w:ascii="Arial" w:hAnsi="Arial" w:cs="Arial"/>
                <w:sz w:val="18"/>
                <w:szCs w:val="18"/>
                <w:lang w:eastAsia="ja-JP"/>
              </w:rPr>
              <w:t xml:space="preserve"> does not start for the next DRX cycle</w:t>
            </w:r>
          </w:p>
          <w:p w14:paraId="404CCAE2"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 xml:space="preserve">Configured periodic L1-RSRP report when impacted by DCI format 2_6 that </w:t>
            </w:r>
            <w:proofErr w:type="spellStart"/>
            <w:r w:rsidRPr="007959A9">
              <w:rPr>
                <w:rFonts w:ascii="Arial" w:hAnsi="Arial" w:cs="Arial"/>
                <w:i/>
                <w:sz w:val="18"/>
                <w:szCs w:val="18"/>
                <w:lang w:eastAsia="ja-JP"/>
              </w:rPr>
              <w:t>drx_OnDurationTimer</w:t>
            </w:r>
            <w:proofErr w:type="spellEnd"/>
            <w:r w:rsidRPr="007959A9">
              <w:rPr>
                <w:rFonts w:ascii="Arial" w:hAnsi="Arial" w:cs="Arial"/>
                <w:sz w:val="18"/>
                <w:szCs w:val="18"/>
                <w:lang w:eastAsia="ja-JP"/>
              </w:rPr>
              <w:t xml:space="preserve"> does not start for the next DRX cycle</w:t>
            </w:r>
          </w:p>
          <w:p w14:paraId="5D100EA0"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sidRPr="007959A9">
              <w:rPr>
                <w:rFonts w:ascii="Arial" w:hAnsi="Arial" w:cs="Arial"/>
                <w:bCs/>
                <w:i/>
                <w:sz w:val="18"/>
                <w:szCs w:val="18"/>
                <w:lang w:eastAsia="ja-JP"/>
              </w:rPr>
              <w:t>drx_onDurationTimer</w:t>
            </w:r>
            <w:proofErr w:type="spellEnd"/>
            <w:r w:rsidRPr="007959A9">
              <w:rPr>
                <w:rFonts w:ascii="Arial" w:hAnsi="Arial" w:cs="Arial"/>
                <w:bCs/>
                <w:iCs/>
                <w:sz w:val="18"/>
                <w:szCs w:val="18"/>
                <w:lang w:eastAsia="ja-JP"/>
              </w:rPr>
              <w:t xml:space="preserve"> for each SCS. The value </w:t>
            </w:r>
            <w:r w:rsidRPr="007959A9">
              <w:rPr>
                <w:rFonts w:ascii="Arial" w:hAnsi="Arial" w:cs="Arial"/>
                <w:bCs/>
                <w:i/>
                <w:sz w:val="18"/>
                <w:szCs w:val="18"/>
                <w:lang w:eastAsia="ja-JP"/>
              </w:rPr>
              <w:t>sl1</w:t>
            </w:r>
            <w:r w:rsidRPr="007959A9">
              <w:rPr>
                <w:rFonts w:ascii="Arial" w:hAnsi="Arial" w:cs="Arial"/>
                <w:bCs/>
                <w:iCs/>
                <w:sz w:val="18"/>
                <w:szCs w:val="18"/>
                <w:lang w:eastAsia="ja-JP"/>
              </w:rPr>
              <w:t xml:space="preserve"> indicates 1 slot. The value </w:t>
            </w:r>
            <w:r w:rsidRPr="007959A9">
              <w:rPr>
                <w:rFonts w:ascii="Arial" w:hAnsi="Arial" w:cs="Arial"/>
                <w:bCs/>
                <w:i/>
                <w:sz w:val="18"/>
                <w:szCs w:val="18"/>
                <w:lang w:eastAsia="ja-JP"/>
              </w:rPr>
              <w:t>sl2</w:t>
            </w:r>
            <w:r w:rsidRPr="007959A9">
              <w:rPr>
                <w:rFonts w:ascii="Arial" w:hAnsi="Arial" w:cs="Arial"/>
                <w:bCs/>
                <w:iCs/>
                <w:sz w:val="18"/>
                <w:szCs w:val="18"/>
                <w:lang w:eastAsia="ja-JP"/>
              </w:rPr>
              <w:t xml:space="preserve"> indicates 2 slots, and so on. Support of this feature is reported for licensed and unlicensed bands, respectively. When this field is reported, either of </w:t>
            </w:r>
            <w:r w:rsidRPr="007959A9">
              <w:rPr>
                <w:rFonts w:ascii="Arial" w:hAnsi="Arial" w:cs="Arial"/>
                <w:bCs/>
                <w:i/>
                <w:iCs/>
                <w:sz w:val="18"/>
                <w:szCs w:val="18"/>
                <w:lang w:eastAsia="ja-JP"/>
              </w:rPr>
              <w:t>licensedBand-r16</w:t>
            </w:r>
            <w:r w:rsidRPr="007959A9">
              <w:rPr>
                <w:rFonts w:ascii="Arial" w:hAnsi="Arial" w:cs="Arial"/>
                <w:bCs/>
                <w:iCs/>
                <w:sz w:val="18"/>
                <w:szCs w:val="18"/>
                <w:lang w:eastAsia="ja-JP"/>
              </w:rPr>
              <w:t xml:space="preserve"> or </w:t>
            </w:r>
            <w:r w:rsidRPr="007959A9">
              <w:rPr>
                <w:rFonts w:ascii="Arial" w:hAnsi="Arial" w:cs="Arial"/>
                <w:bCs/>
                <w:i/>
                <w:iCs/>
                <w:sz w:val="18"/>
                <w:szCs w:val="18"/>
                <w:lang w:eastAsia="ja-JP"/>
              </w:rPr>
              <w:t>unlicensedBand-r16</w:t>
            </w:r>
            <w:r w:rsidRPr="007959A9">
              <w:rPr>
                <w:rFonts w:ascii="Arial" w:hAnsi="Arial" w:cs="Arial"/>
                <w:bCs/>
                <w:iCs/>
                <w:sz w:val="18"/>
                <w:szCs w:val="18"/>
                <w:lang w:eastAsia="ja-JP"/>
              </w:rPr>
              <w:t xml:space="preserve"> shall be reported, at least.</w:t>
            </w:r>
          </w:p>
        </w:tc>
        <w:tc>
          <w:tcPr>
            <w:tcW w:w="567" w:type="dxa"/>
          </w:tcPr>
          <w:p w14:paraId="4C0E0563"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50F18B11"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5D70FECA"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52EB6FA3"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E812A1" w:rsidRPr="007959A9" w14:paraId="29BD7F1B" w14:textId="77777777" w:rsidTr="00F4432A">
        <w:trPr>
          <w:cantSplit/>
          <w:tblHeader/>
          <w:ins w:id="11" w:author="Linhai He" w:date="2020-10-15T14:02:00Z"/>
        </w:trPr>
        <w:tc>
          <w:tcPr>
            <w:tcW w:w="7088" w:type="dxa"/>
          </w:tcPr>
          <w:p w14:paraId="19A22945" w14:textId="6805045C" w:rsidR="00E812A1" w:rsidRPr="00A97C3C" w:rsidRDefault="00B969D3" w:rsidP="007959A9">
            <w:pPr>
              <w:keepNext/>
              <w:keepLines/>
              <w:overflowPunct w:val="0"/>
              <w:autoSpaceDE w:val="0"/>
              <w:autoSpaceDN w:val="0"/>
              <w:adjustRightInd w:val="0"/>
              <w:spacing w:after="0"/>
              <w:textAlignment w:val="baseline"/>
              <w:rPr>
                <w:ins w:id="12" w:author="Linhai He" w:date="2020-10-15T14:03:00Z"/>
                <w:rFonts w:ascii="Arial" w:hAnsi="Arial"/>
                <w:b/>
                <w:i/>
                <w:sz w:val="18"/>
                <w:lang w:eastAsia="ja-JP"/>
              </w:rPr>
            </w:pPr>
            <w:ins w:id="13" w:author="Linhai He" w:date="2020-10-21T11:55:00Z">
              <w:r>
                <w:rPr>
                  <w:rFonts w:ascii="Arial" w:hAnsi="Arial"/>
                  <w:b/>
                  <w:i/>
                  <w:sz w:val="18"/>
                  <w:lang w:eastAsia="ja-JP"/>
                </w:rPr>
                <w:t>s</w:t>
              </w:r>
            </w:ins>
            <w:ins w:id="14" w:author="Linhai He" w:date="2020-10-21T19:36:00Z">
              <w:r w:rsidR="00BB76C4">
                <w:rPr>
                  <w:rFonts w:ascii="Arial" w:hAnsi="Arial"/>
                  <w:b/>
                  <w:i/>
                  <w:sz w:val="18"/>
                  <w:lang w:eastAsia="ja-JP"/>
                </w:rPr>
                <w:t>C</w:t>
              </w:r>
            </w:ins>
            <w:ins w:id="15" w:author="Linhai He" w:date="2020-10-21T11:54:00Z">
              <w:r w:rsidR="00836390">
                <w:rPr>
                  <w:rFonts w:ascii="Arial" w:hAnsi="Arial"/>
                  <w:b/>
                  <w:i/>
                  <w:sz w:val="18"/>
                  <w:lang w:eastAsia="ja-JP"/>
                </w:rPr>
                <w:t>ellActivation</w:t>
              </w:r>
            </w:ins>
            <w:ins w:id="16" w:author="Linhai He" w:date="2020-10-21T11:55:00Z">
              <w:r>
                <w:rPr>
                  <w:rFonts w:ascii="Arial" w:hAnsi="Arial"/>
                  <w:b/>
                  <w:i/>
                  <w:sz w:val="18"/>
                  <w:lang w:eastAsia="ja-JP"/>
                </w:rPr>
                <w:t>SecondaryDRX-</w:t>
              </w:r>
            </w:ins>
            <w:ins w:id="17" w:author="Linhai He" w:date="2020-10-15T14:03:00Z">
              <w:r w:rsidR="00205B14" w:rsidRPr="00A97C3C">
                <w:rPr>
                  <w:rFonts w:ascii="Arial" w:hAnsi="Arial"/>
                  <w:b/>
                  <w:i/>
                  <w:sz w:val="18"/>
                  <w:lang w:eastAsia="ja-JP"/>
                </w:rPr>
                <w:t>Group-r16</w:t>
              </w:r>
            </w:ins>
          </w:p>
          <w:p w14:paraId="6FFE7DEC" w14:textId="77EE27FC" w:rsidR="00205B14" w:rsidRPr="009D37F6" w:rsidRDefault="00205B14" w:rsidP="007959A9">
            <w:pPr>
              <w:keepNext/>
              <w:keepLines/>
              <w:overflowPunct w:val="0"/>
              <w:autoSpaceDE w:val="0"/>
              <w:autoSpaceDN w:val="0"/>
              <w:adjustRightInd w:val="0"/>
              <w:spacing w:after="0"/>
              <w:textAlignment w:val="baseline"/>
              <w:rPr>
                <w:ins w:id="18" w:author="Linhai He" w:date="2020-10-15T14:02:00Z"/>
                <w:rFonts w:ascii="Arial" w:hAnsi="Arial"/>
                <w:bCs/>
                <w:iCs/>
                <w:sz w:val="18"/>
                <w:lang w:eastAsia="ja-JP"/>
              </w:rPr>
            </w:pPr>
            <w:ins w:id="19" w:author="Linhai He" w:date="2020-10-15T14:03:00Z">
              <w:r w:rsidRPr="00A97C3C">
                <w:rPr>
                  <w:rFonts w:ascii="Arial" w:hAnsi="Arial"/>
                  <w:bCs/>
                  <w:iCs/>
                  <w:sz w:val="18"/>
                  <w:lang w:eastAsia="ja-JP"/>
                </w:rPr>
                <w:t xml:space="preserve">Indicates whether </w:t>
              </w:r>
            </w:ins>
            <w:ins w:id="20" w:author="Linhai He" w:date="2020-10-15T14:04:00Z">
              <w:r w:rsidR="00354670">
                <w:rPr>
                  <w:rFonts w:ascii="Arial" w:hAnsi="Arial"/>
                  <w:bCs/>
                  <w:iCs/>
                  <w:sz w:val="18"/>
                  <w:lang w:eastAsia="ja-JP"/>
                </w:rPr>
                <w:t xml:space="preserve">the UE </w:t>
              </w:r>
            </w:ins>
            <w:ins w:id="21" w:author="Linhai He" w:date="2020-10-21T11:31:00Z">
              <w:r w:rsidR="00AC2A57">
                <w:rPr>
                  <w:rFonts w:ascii="Arial" w:hAnsi="Arial"/>
                  <w:bCs/>
                  <w:iCs/>
                  <w:sz w:val="18"/>
                  <w:lang w:eastAsia="ja-JP"/>
                </w:rPr>
                <w:t xml:space="preserve">supports </w:t>
              </w:r>
            </w:ins>
            <w:ins w:id="22" w:author="Linhai He" w:date="2020-10-15T14:04:00Z">
              <w:r w:rsidR="00354670">
                <w:rPr>
                  <w:rFonts w:ascii="Arial" w:hAnsi="Arial"/>
                  <w:bCs/>
                  <w:iCs/>
                  <w:sz w:val="18"/>
                  <w:lang w:eastAsia="ja-JP"/>
                </w:rPr>
                <w:t>start</w:t>
              </w:r>
            </w:ins>
            <w:ins w:id="23" w:author="Linhai He" w:date="2020-10-21T11:31:00Z">
              <w:r w:rsidR="00AC2A57">
                <w:rPr>
                  <w:rFonts w:ascii="Arial" w:hAnsi="Arial"/>
                  <w:bCs/>
                  <w:iCs/>
                  <w:sz w:val="18"/>
                  <w:lang w:eastAsia="ja-JP"/>
                </w:rPr>
                <w:t>ing</w:t>
              </w:r>
            </w:ins>
            <w:ins w:id="24" w:author="Linhai He" w:date="2020-10-15T14:04:00Z">
              <w:r w:rsidR="00354670">
                <w:rPr>
                  <w:rFonts w:ascii="Arial" w:hAnsi="Arial"/>
                  <w:bCs/>
                  <w:iCs/>
                  <w:sz w:val="18"/>
                  <w:lang w:eastAsia="ja-JP"/>
                </w:rPr>
                <w:t xml:space="preserve"> DRX </w:t>
              </w:r>
            </w:ins>
            <w:ins w:id="25" w:author="Linhai He" w:date="2020-10-15T14:05:00Z">
              <w:r w:rsidR="00354670">
                <w:rPr>
                  <w:rFonts w:ascii="Arial" w:hAnsi="Arial"/>
                  <w:bCs/>
                  <w:iCs/>
                  <w:sz w:val="18"/>
                  <w:lang w:eastAsia="ja-JP"/>
                </w:rPr>
                <w:t>Inactivity timer in secondary DRX group</w:t>
              </w:r>
            </w:ins>
            <w:ins w:id="26" w:author="Linhai He" w:date="2020-10-15T14:06:00Z">
              <w:r w:rsidR="004C0F54">
                <w:rPr>
                  <w:rFonts w:ascii="Arial" w:hAnsi="Arial"/>
                  <w:bCs/>
                  <w:iCs/>
                  <w:sz w:val="18"/>
                  <w:lang w:eastAsia="ja-JP"/>
                </w:rPr>
                <w:t xml:space="preserve"> </w:t>
              </w:r>
            </w:ins>
            <w:ins w:id="27" w:author="Linhai He" w:date="2020-10-15T14:05:00Z">
              <w:r w:rsidR="0090716E">
                <w:rPr>
                  <w:rFonts w:ascii="Arial" w:hAnsi="Arial"/>
                  <w:bCs/>
                  <w:iCs/>
                  <w:sz w:val="18"/>
                  <w:lang w:eastAsia="ja-JP"/>
                </w:rPr>
                <w:t xml:space="preserve">when </w:t>
              </w:r>
            </w:ins>
            <w:ins w:id="28" w:author="Linhai He" w:date="2020-10-21T11:31:00Z">
              <w:r w:rsidR="00801A23">
                <w:rPr>
                  <w:rFonts w:ascii="Arial" w:hAnsi="Arial"/>
                  <w:bCs/>
                  <w:iCs/>
                  <w:sz w:val="18"/>
                  <w:lang w:eastAsia="ja-JP"/>
                </w:rPr>
                <w:t xml:space="preserve">SCells in secondary DRX groups are activated </w:t>
              </w:r>
            </w:ins>
            <w:ins w:id="29" w:author="Linhai He" w:date="2020-10-21T11:32:00Z">
              <w:r w:rsidR="002A7F94">
                <w:rPr>
                  <w:rFonts w:ascii="Arial" w:hAnsi="Arial"/>
                  <w:bCs/>
                  <w:iCs/>
                  <w:sz w:val="18"/>
                  <w:lang w:eastAsia="ja-JP"/>
                </w:rPr>
                <w:t>but secondary DRX group is in DRX off time</w:t>
              </w:r>
            </w:ins>
            <w:ins w:id="30" w:author="Linhai He" w:date="2020-10-15T14:07:00Z">
              <w:r w:rsidR="00201BA9">
                <w:rPr>
                  <w:rFonts w:ascii="Arial" w:hAnsi="Arial"/>
                  <w:bCs/>
                  <w:iCs/>
                  <w:sz w:val="18"/>
                  <w:lang w:eastAsia="ja-JP"/>
                </w:rPr>
                <w:t>, as specified in TS 38.321 [x]</w:t>
              </w:r>
            </w:ins>
            <w:ins w:id="31" w:author="Linhai He" w:date="2020-10-15T14:06:00Z">
              <w:r w:rsidR="00B92ADB">
                <w:rPr>
                  <w:rFonts w:ascii="Arial" w:hAnsi="Arial"/>
                  <w:bCs/>
                  <w:iCs/>
                  <w:sz w:val="18"/>
                  <w:lang w:eastAsia="ja-JP"/>
                </w:rPr>
                <w:t>.</w:t>
              </w:r>
            </w:ins>
            <w:r w:rsidR="009D37F6">
              <w:rPr>
                <w:rFonts w:ascii="Arial" w:hAnsi="Arial"/>
                <w:bCs/>
                <w:iCs/>
                <w:sz w:val="18"/>
                <w:lang w:eastAsia="ja-JP"/>
              </w:rPr>
              <w:t xml:space="preserve"> </w:t>
            </w:r>
            <w:ins w:id="32" w:author="Linhai He" w:date="2020-10-22T00:05:00Z">
              <w:r w:rsidR="009D37F6" w:rsidRPr="009D37F6">
                <w:rPr>
                  <w:rFonts w:ascii="Arial" w:hAnsi="Arial"/>
                  <w:bCs/>
                  <w:iCs/>
                  <w:sz w:val="18"/>
                  <w:lang w:eastAsia="ja-JP"/>
                </w:rPr>
                <w:t xml:space="preserve">A UE supporting this feature shall also support </w:t>
              </w:r>
              <w:r w:rsidR="009D37F6" w:rsidRPr="009D37F6">
                <w:rPr>
                  <w:rFonts w:ascii="Arial" w:hAnsi="Arial"/>
                  <w:bCs/>
                  <w:i/>
                  <w:sz w:val="18"/>
                  <w:lang w:eastAsia="ja-JP"/>
                </w:rPr>
                <w:t>secondaryDRX-Group-r16</w:t>
              </w:r>
              <w:r w:rsidR="009D37F6">
                <w:rPr>
                  <w:rFonts w:ascii="Arial" w:hAnsi="Arial"/>
                  <w:bCs/>
                  <w:iCs/>
                  <w:sz w:val="18"/>
                  <w:lang w:eastAsia="ja-JP"/>
                </w:rPr>
                <w:t>.</w:t>
              </w:r>
            </w:ins>
          </w:p>
        </w:tc>
        <w:tc>
          <w:tcPr>
            <w:tcW w:w="567" w:type="dxa"/>
          </w:tcPr>
          <w:p w14:paraId="1131C178" w14:textId="3BE10E4D" w:rsidR="00E812A1" w:rsidRPr="007959A9" w:rsidRDefault="00A97C3C" w:rsidP="007959A9">
            <w:pPr>
              <w:keepNext/>
              <w:keepLines/>
              <w:overflowPunct w:val="0"/>
              <w:autoSpaceDE w:val="0"/>
              <w:autoSpaceDN w:val="0"/>
              <w:adjustRightInd w:val="0"/>
              <w:spacing w:after="0"/>
              <w:textAlignment w:val="baseline"/>
              <w:rPr>
                <w:ins w:id="33" w:author="Linhai He" w:date="2020-10-15T14:02:00Z"/>
                <w:rFonts w:ascii="Arial" w:hAnsi="Arial" w:cs="Arial"/>
                <w:sz w:val="18"/>
                <w:szCs w:val="18"/>
                <w:lang w:eastAsia="ja-JP"/>
              </w:rPr>
            </w:pPr>
            <w:ins w:id="34" w:author="Linhai He" w:date="2020-10-15T14:07:00Z">
              <w:r>
                <w:rPr>
                  <w:rFonts w:ascii="Arial" w:hAnsi="Arial" w:cs="Arial"/>
                  <w:sz w:val="18"/>
                  <w:szCs w:val="18"/>
                  <w:lang w:eastAsia="ja-JP"/>
                </w:rPr>
                <w:t>UE</w:t>
              </w:r>
            </w:ins>
          </w:p>
        </w:tc>
        <w:tc>
          <w:tcPr>
            <w:tcW w:w="567" w:type="dxa"/>
          </w:tcPr>
          <w:p w14:paraId="3CD7E073" w14:textId="351AA59B" w:rsidR="00E812A1" w:rsidRPr="007959A9" w:rsidRDefault="00A97C3C" w:rsidP="007959A9">
            <w:pPr>
              <w:keepNext/>
              <w:keepLines/>
              <w:overflowPunct w:val="0"/>
              <w:autoSpaceDE w:val="0"/>
              <w:autoSpaceDN w:val="0"/>
              <w:adjustRightInd w:val="0"/>
              <w:spacing w:after="0"/>
              <w:textAlignment w:val="baseline"/>
              <w:rPr>
                <w:ins w:id="35" w:author="Linhai He" w:date="2020-10-15T14:02:00Z"/>
                <w:rFonts w:ascii="Arial" w:hAnsi="Arial" w:cs="Arial"/>
                <w:sz w:val="18"/>
                <w:szCs w:val="18"/>
                <w:lang w:eastAsia="ja-JP"/>
              </w:rPr>
            </w:pPr>
            <w:ins w:id="36" w:author="Linhai He" w:date="2020-10-15T14:07:00Z">
              <w:r>
                <w:rPr>
                  <w:rFonts w:ascii="Arial" w:hAnsi="Arial" w:cs="Arial"/>
                  <w:sz w:val="18"/>
                  <w:szCs w:val="18"/>
                  <w:lang w:eastAsia="ja-JP"/>
                </w:rPr>
                <w:t>No</w:t>
              </w:r>
            </w:ins>
          </w:p>
        </w:tc>
        <w:tc>
          <w:tcPr>
            <w:tcW w:w="709" w:type="dxa"/>
          </w:tcPr>
          <w:p w14:paraId="40CA7D09" w14:textId="3D1E408F" w:rsidR="00E812A1" w:rsidRPr="007959A9" w:rsidRDefault="00A97C3C" w:rsidP="007959A9">
            <w:pPr>
              <w:keepNext/>
              <w:keepLines/>
              <w:overflowPunct w:val="0"/>
              <w:autoSpaceDE w:val="0"/>
              <w:autoSpaceDN w:val="0"/>
              <w:adjustRightInd w:val="0"/>
              <w:spacing w:after="0"/>
              <w:textAlignment w:val="baseline"/>
              <w:rPr>
                <w:ins w:id="37" w:author="Linhai He" w:date="2020-10-15T14:02:00Z"/>
                <w:rFonts w:ascii="Arial" w:hAnsi="Arial" w:cs="Arial"/>
                <w:sz w:val="18"/>
                <w:szCs w:val="18"/>
                <w:lang w:eastAsia="ja-JP"/>
              </w:rPr>
            </w:pPr>
            <w:ins w:id="38" w:author="Linhai He" w:date="2020-10-15T14:07:00Z">
              <w:r>
                <w:rPr>
                  <w:rFonts w:ascii="Arial" w:hAnsi="Arial" w:cs="Arial"/>
                  <w:sz w:val="18"/>
                  <w:szCs w:val="18"/>
                  <w:lang w:eastAsia="ja-JP"/>
                </w:rPr>
                <w:t>Yes</w:t>
              </w:r>
            </w:ins>
          </w:p>
        </w:tc>
        <w:tc>
          <w:tcPr>
            <w:tcW w:w="708" w:type="dxa"/>
          </w:tcPr>
          <w:p w14:paraId="332B9345" w14:textId="1BBF495F" w:rsidR="00E812A1" w:rsidRPr="007959A9" w:rsidRDefault="00A97C3C" w:rsidP="007959A9">
            <w:pPr>
              <w:keepNext/>
              <w:keepLines/>
              <w:overflowPunct w:val="0"/>
              <w:autoSpaceDE w:val="0"/>
              <w:autoSpaceDN w:val="0"/>
              <w:adjustRightInd w:val="0"/>
              <w:spacing w:after="0"/>
              <w:textAlignment w:val="baseline"/>
              <w:rPr>
                <w:ins w:id="39" w:author="Linhai He" w:date="2020-10-15T14:02:00Z"/>
                <w:rFonts w:ascii="Arial" w:hAnsi="Arial" w:cs="Arial"/>
                <w:sz w:val="18"/>
                <w:szCs w:val="18"/>
                <w:lang w:eastAsia="ja-JP"/>
              </w:rPr>
            </w:pPr>
            <w:ins w:id="40" w:author="Linhai He" w:date="2020-10-15T14:07:00Z">
              <w:r>
                <w:rPr>
                  <w:rFonts w:ascii="Arial" w:hAnsi="Arial" w:cs="Arial"/>
                  <w:sz w:val="18"/>
                  <w:szCs w:val="18"/>
                  <w:lang w:eastAsia="ja-JP"/>
                </w:rPr>
                <w:t>No</w:t>
              </w:r>
            </w:ins>
          </w:p>
        </w:tc>
      </w:tr>
      <w:tr w:rsidR="007959A9" w:rsidRPr="007959A9" w14:paraId="03BF4B2D" w14:textId="77777777" w:rsidTr="00F4432A">
        <w:trPr>
          <w:cantSplit/>
          <w:tblHeader/>
        </w:trPr>
        <w:tc>
          <w:tcPr>
            <w:tcW w:w="7088" w:type="dxa"/>
          </w:tcPr>
          <w:p w14:paraId="3D249A6E"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lch-PriorityBasedPrioritization-r16</w:t>
            </w:r>
          </w:p>
          <w:p w14:paraId="404549E6"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3D30D186"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14E2DAC6"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5DEF904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4A7EF665"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r>
      <w:tr w:rsidR="007959A9" w:rsidRPr="007959A9" w14:paraId="2951699B" w14:textId="77777777" w:rsidTr="00F4432A">
        <w:trPr>
          <w:cantSplit/>
          <w:tblHeader/>
        </w:trPr>
        <w:tc>
          <w:tcPr>
            <w:tcW w:w="7088" w:type="dxa"/>
          </w:tcPr>
          <w:p w14:paraId="5CB39F97"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lch-ToConfiguredGrantMapping-r16</w:t>
            </w:r>
          </w:p>
          <w:p w14:paraId="71FE3E11"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restricting data transmission from a given LCH to a configured (sub-) set of configured grant configurations (see </w:t>
            </w:r>
            <w:r w:rsidRPr="007959A9">
              <w:rPr>
                <w:rFonts w:ascii="Arial" w:hAnsi="Arial"/>
                <w:i/>
                <w:iCs/>
                <w:sz w:val="18"/>
                <w:lang w:eastAsia="ja-JP"/>
              </w:rPr>
              <w:t>allowedCG-List-r16</w:t>
            </w:r>
            <w:r w:rsidRPr="007959A9">
              <w:rPr>
                <w:rFonts w:ascii="Arial" w:hAnsi="Arial"/>
                <w:sz w:val="18"/>
                <w:lang w:eastAsia="ja-JP"/>
              </w:rPr>
              <w:t xml:space="preserve"> in </w:t>
            </w:r>
            <w:proofErr w:type="spellStart"/>
            <w:r w:rsidRPr="007959A9">
              <w:rPr>
                <w:rFonts w:ascii="Arial" w:hAnsi="Arial"/>
                <w:i/>
                <w:iCs/>
                <w:sz w:val="18"/>
                <w:lang w:eastAsia="ja-JP"/>
              </w:rPr>
              <w:t>LogicalChannelConfig</w:t>
            </w:r>
            <w:proofErr w:type="spellEnd"/>
            <w:r w:rsidRPr="007959A9">
              <w:rPr>
                <w:rFonts w:ascii="Arial" w:hAnsi="Arial"/>
                <w:sz w:val="18"/>
                <w:lang w:eastAsia="ja-JP"/>
              </w:rPr>
              <w:t xml:space="preserve"> in TS 38.331 [9]) as specified in TS 38.321 [8]. </w:t>
            </w:r>
          </w:p>
        </w:tc>
        <w:tc>
          <w:tcPr>
            <w:tcW w:w="567" w:type="dxa"/>
          </w:tcPr>
          <w:p w14:paraId="41A006B1"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332D7929"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728DF0F5"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4A61E9C1"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r>
      <w:tr w:rsidR="007959A9" w:rsidRPr="007959A9" w14:paraId="248516E2" w14:textId="77777777" w:rsidTr="00F4432A">
        <w:trPr>
          <w:cantSplit/>
          <w:tblHeader/>
        </w:trPr>
        <w:tc>
          <w:tcPr>
            <w:tcW w:w="7088" w:type="dxa"/>
          </w:tcPr>
          <w:p w14:paraId="334D26A4"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lch-ToGrantPriorityRestriction-r16</w:t>
            </w:r>
          </w:p>
          <w:p w14:paraId="31D0386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restricting data transmission from a given LCH to a configured (sub-) set of dynamic grant priority levels (see </w:t>
            </w:r>
            <w:r w:rsidRPr="007959A9">
              <w:rPr>
                <w:rFonts w:ascii="Arial" w:hAnsi="Arial"/>
                <w:i/>
                <w:iCs/>
                <w:sz w:val="18"/>
                <w:lang w:eastAsia="ja-JP"/>
              </w:rPr>
              <w:t>allowedPHY-PriorityIndex-r16</w:t>
            </w:r>
            <w:r w:rsidRPr="007959A9">
              <w:rPr>
                <w:rFonts w:ascii="Arial" w:hAnsi="Arial"/>
                <w:sz w:val="18"/>
                <w:lang w:eastAsia="ja-JP"/>
              </w:rPr>
              <w:t xml:space="preserve"> in </w:t>
            </w:r>
            <w:proofErr w:type="spellStart"/>
            <w:r w:rsidRPr="007959A9">
              <w:rPr>
                <w:rFonts w:ascii="Arial" w:hAnsi="Arial"/>
                <w:i/>
                <w:iCs/>
                <w:sz w:val="18"/>
                <w:lang w:eastAsia="ja-JP"/>
              </w:rPr>
              <w:t>LogicalChannelConfig</w:t>
            </w:r>
            <w:proofErr w:type="spellEnd"/>
            <w:r w:rsidRPr="007959A9">
              <w:rPr>
                <w:rFonts w:ascii="Arial" w:hAnsi="Arial"/>
                <w:sz w:val="18"/>
                <w:lang w:eastAsia="ja-JP"/>
              </w:rPr>
              <w:t xml:space="preserve"> in TS 38.331 [9]) as specified in TS 38.321 [8].</w:t>
            </w:r>
            <w:r w:rsidRPr="007959A9">
              <w:rPr>
                <w:rFonts w:ascii="Arial" w:hAnsi="Arial"/>
                <w:sz w:val="18"/>
                <w:lang w:eastAsia="zh-CN"/>
              </w:rPr>
              <w:t xml:space="preserve"> </w:t>
            </w:r>
          </w:p>
        </w:tc>
        <w:tc>
          <w:tcPr>
            <w:tcW w:w="567" w:type="dxa"/>
          </w:tcPr>
          <w:p w14:paraId="1C114EB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5F05A742"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76EE7494"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34FB374B"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r>
      <w:tr w:rsidR="007959A9" w:rsidRPr="007959A9" w14:paraId="3E5AB9C1" w14:textId="77777777" w:rsidTr="00F4432A">
        <w:trPr>
          <w:cantSplit/>
          <w:tblHeader/>
        </w:trPr>
        <w:tc>
          <w:tcPr>
            <w:tcW w:w="7088" w:type="dxa"/>
          </w:tcPr>
          <w:p w14:paraId="20CB9F64"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proofErr w:type="spellStart"/>
            <w:r w:rsidRPr="007959A9">
              <w:rPr>
                <w:rFonts w:ascii="Arial" w:hAnsi="Arial"/>
                <w:b/>
                <w:i/>
                <w:sz w:val="18"/>
                <w:lang w:eastAsia="ja-JP"/>
              </w:rPr>
              <w:t>lch-ToSCellRestriction</w:t>
            </w:r>
            <w:proofErr w:type="spellEnd"/>
          </w:p>
          <w:p w14:paraId="3EAE7726"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sz w:val="18"/>
                <w:szCs w:val="18"/>
                <w:lang w:eastAsia="ja-JP"/>
              </w:rPr>
            </w:pPr>
            <w:r w:rsidRPr="007959A9">
              <w:rPr>
                <w:rFonts w:ascii="Arial" w:hAnsi="Arial"/>
                <w:sz w:val="18"/>
                <w:lang w:eastAsia="ja-JP"/>
              </w:rPr>
              <w:t xml:space="preserve">Indicates whether the UE supports restricting data transmission from a given LCH to a configured (sub-) set of serving cells (see </w:t>
            </w:r>
            <w:proofErr w:type="spellStart"/>
            <w:r w:rsidRPr="007959A9">
              <w:rPr>
                <w:rFonts w:ascii="Arial" w:hAnsi="Arial"/>
                <w:sz w:val="18"/>
                <w:lang w:eastAsia="ja-JP"/>
              </w:rPr>
              <w:t>allowedServingCells</w:t>
            </w:r>
            <w:proofErr w:type="spellEnd"/>
            <w:r w:rsidRPr="007959A9">
              <w:rPr>
                <w:rFonts w:ascii="Arial" w:hAnsi="Arial"/>
                <w:sz w:val="18"/>
                <w:lang w:eastAsia="ja-JP"/>
              </w:rPr>
              <w:t xml:space="preserve"> in </w:t>
            </w:r>
            <w:proofErr w:type="spellStart"/>
            <w:r w:rsidRPr="007959A9">
              <w:rPr>
                <w:rFonts w:ascii="Arial" w:hAnsi="Arial"/>
                <w:sz w:val="18"/>
                <w:lang w:eastAsia="ja-JP"/>
              </w:rPr>
              <w:t>LogicalChannelConfig</w:t>
            </w:r>
            <w:proofErr w:type="spellEnd"/>
            <w:r w:rsidRPr="007959A9">
              <w:rPr>
                <w:rFonts w:ascii="Arial" w:hAnsi="Arial"/>
                <w:sz w:val="18"/>
                <w:lang w:eastAsia="ja-JP"/>
              </w:rPr>
              <w:t xml:space="preserve">). A UE supporting </w:t>
            </w:r>
            <w:proofErr w:type="spellStart"/>
            <w:r w:rsidRPr="007959A9">
              <w:rPr>
                <w:rFonts w:ascii="Arial" w:hAnsi="Arial"/>
                <w:sz w:val="18"/>
                <w:lang w:eastAsia="ja-JP"/>
              </w:rPr>
              <w:t>pdcp</w:t>
            </w:r>
            <w:proofErr w:type="spellEnd"/>
            <w:r w:rsidRPr="007959A9">
              <w:rPr>
                <w:rFonts w:ascii="Arial" w:hAnsi="Arial"/>
                <w:sz w:val="18"/>
                <w:lang w:eastAsia="ja-JP"/>
              </w:rPr>
              <w:t>-</w:t>
            </w:r>
            <w:proofErr w:type="spellStart"/>
            <w:r w:rsidRPr="007959A9">
              <w:rPr>
                <w:rFonts w:ascii="Arial" w:hAnsi="Arial"/>
                <w:sz w:val="18"/>
                <w:lang w:eastAsia="ja-JP"/>
              </w:rPr>
              <w:t>DuplicationMCG</w:t>
            </w:r>
            <w:proofErr w:type="spellEnd"/>
            <w:r w:rsidRPr="007959A9">
              <w:rPr>
                <w:rFonts w:ascii="Arial" w:hAnsi="Arial"/>
                <w:sz w:val="18"/>
                <w:lang w:eastAsia="ja-JP"/>
              </w:rPr>
              <w:t>-</w:t>
            </w:r>
            <w:proofErr w:type="spellStart"/>
            <w:r w:rsidRPr="007959A9">
              <w:rPr>
                <w:rFonts w:ascii="Arial" w:hAnsi="Arial"/>
                <w:sz w:val="18"/>
                <w:lang w:eastAsia="ja-JP"/>
              </w:rPr>
              <w:t>OrSCG</w:t>
            </w:r>
            <w:proofErr w:type="spellEnd"/>
            <w:r w:rsidRPr="007959A9">
              <w:rPr>
                <w:rFonts w:ascii="Arial" w:hAnsi="Arial"/>
                <w:sz w:val="18"/>
                <w:lang w:eastAsia="ja-JP"/>
              </w:rPr>
              <w:t xml:space="preserve">-DRB </w:t>
            </w:r>
            <w:r w:rsidRPr="007959A9">
              <w:rPr>
                <w:rFonts w:ascii="Arial" w:hAnsi="Arial"/>
                <w:sz w:val="18"/>
                <w:lang w:eastAsia="zh-CN"/>
              </w:rPr>
              <w:t>or</w:t>
            </w:r>
            <w:r w:rsidRPr="007959A9">
              <w:rPr>
                <w:rFonts w:ascii="Arial" w:hAnsi="Arial"/>
                <w:sz w:val="18"/>
                <w:lang w:eastAsia="ja-JP"/>
              </w:rPr>
              <w:t xml:space="preserve"> </w:t>
            </w:r>
            <w:proofErr w:type="spellStart"/>
            <w:r w:rsidRPr="007959A9">
              <w:rPr>
                <w:rFonts w:ascii="Arial" w:hAnsi="Arial"/>
                <w:sz w:val="18"/>
                <w:lang w:eastAsia="ja-JP"/>
              </w:rPr>
              <w:t>pdcp-DuplicationSRB</w:t>
            </w:r>
            <w:proofErr w:type="spellEnd"/>
            <w:r w:rsidRPr="007959A9">
              <w:rPr>
                <w:rFonts w:ascii="Arial" w:hAnsi="Arial"/>
                <w:sz w:val="18"/>
                <w:lang w:eastAsia="ja-JP"/>
              </w:rPr>
              <w:t xml:space="preserve"> (see PDCP-Config) shall also support </w:t>
            </w:r>
            <w:proofErr w:type="spellStart"/>
            <w:r w:rsidRPr="007959A9">
              <w:rPr>
                <w:rFonts w:ascii="Arial" w:hAnsi="Arial"/>
                <w:sz w:val="18"/>
                <w:lang w:eastAsia="ja-JP"/>
              </w:rPr>
              <w:t>lch-ToSCellRestriction</w:t>
            </w:r>
            <w:proofErr w:type="spellEnd"/>
            <w:r w:rsidRPr="007959A9">
              <w:rPr>
                <w:rFonts w:ascii="Arial" w:hAnsi="Arial"/>
                <w:sz w:val="18"/>
                <w:lang w:eastAsia="ja-JP"/>
              </w:rPr>
              <w:t>.</w:t>
            </w:r>
          </w:p>
        </w:tc>
        <w:tc>
          <w:tcPr>
            <w:tcW w:w="567" w:type="dxa"/>
          </w:tcPr>
          <w:p w14:paraId="461DD302"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959A9">
              <w:rPr>
                <w:rFonts w:ascii="Arial" w:hAnsi="Arial" w:cs="Arial"/>
                <w:sz w:val="18"/>
                <w:szCs w:val="18"/>
                <w:lang w:eastAsia="ja-JP"/>
              </w:rPr>
              <w:t>UE</w:t>
            </w:r>
          </w:p>
        </w:tc>
        <w:tc>
          <w:tcPr>
            <w:tcW w:w="567" w:type="dxa"/>
          </w:tcPr>
          <w:p w14:paraId="0134C447"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959A9">
              <w:rPr>
                <w:rFonts w:ascii="Arial" w:hAnsi="Arial" w:cs="Arial"/>
                <w:sz w:val="18"/>
                <w:szCs w:val="18"/>
                <w:lang w:eastAsia="ja-JP"/>
              </w:rPr>
              <w:t>No</w:t>
            </w:r>
          </w:p>
        </w:tc>
        <w:tc>
          <w:tcPr>
            <w:tcW w:w="709" w:type="dxa"/>
          </w:tcPr>
          <w:p w14:paraId="605A9562"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959A9">
              <w:rPr>
                <w:rFonts w:ascii="Arial" w:hAnsi="Arial" w:cs="Arial"/>
                <w:sz w:val="18"/>
                <w:szCs w:val="18"/>
                <w:lang w:eastAsia="ja-JP"/>
              </w:rPr>
              <w:t>No</w:t>
            </w:r>
          </w:p>
        </w:tc>
        <w:tc>
          <w:tcPr>
            <w:tcW w:w="708" w:type="dxa"/>
          </w:tcPr>
          <w:p w14:paraId="0E21B64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959A9">
              <w:rPr>
                <w:rFonts w:ascii="Arial" w:hAnsi="Arial" w:cs="Arial"/>
                <w:sz w:val="18"/>
                <w:szCs w:val="18"/>
                <w:lang w:eastAsia="ja-JP"/>
              </w:rPr>
              <w:t>No</w:t>
            </w:r>
          </w:p>
        </w:tc>
      </w:tr>
      <w:tr w:rsidR="007959A9" w:rsidRPr="007959A9" w14:paraId="0F037AC9" w14:textId="77777777" w:rsidTr="00F4432A">
        <w:trPr>
          <w:cantSplit/>
        </w:trPr>
        <w:tc>
          <w:tcPr>
            <w:tcW w:w="7088" w:type="dxa"/>
          </w:tcPr>
          <w:p w14:paraId="3994F389"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lcp</w:t>
            </w:r>
            <w:proofErr w:type="spellEnd"/>
            <w:r w:rsidRPr="007959A9">
              <w:rPr>
                <w:rFonts w:ascii="Arial" w:hAnsi="Arial" w:cs="Arial"/>
                <w:b/>
                <w:bCs/>
                <w:i/>
                <w:iCs/>
                <w:sz w:val="18"/>
                <w:szCs w:val="18"/>
                <w:lang w:eastAsia="ja-JP"/>
              </w:rPr>
              <w:t>-Restriction</w:t>
            </w:r>
          </w:p>
          <w:p w14:paraId="224FA11E"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
                <w:iCs/>
                <w:sz w:val="18"/>
                <w:szCs w:val="18"/>
                <w:lang w:eastAsia="ja-JP"/>
              </w:rPr>
            </w:pPr>
            <w:r w:rsidRPr="007959A9">
              <w:rPr>
                <w:rFonts w:ascii="Arial" w:hAnsi="Arial"/>
                <w:sz w:val="18"/>
                <w:lang w:eastAsia="ja-JP"/>
              </w:rPr>
              <w:t>Indicates whether UE supports the selection of logical channels for each UL grant based on RRC configured restriction.</w:t>
            </w:r>
          </w:p>
        </w:tc>
        <w:tc>
          <w:tcPr>
            <w:tcW w:w="567" w:type="dxa"/>
          </w:tcPr>
          <w:p w14:paraId="63E4C746"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5ABDBE4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3C3A125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8" w:type="dxa"/>
          </w:tcPr>
          <w:p w14:paraId="1ADF992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066E6070" w14:textId="77777777" w:rsidTr="00F4432A">
        <w:trPr>
          <w:cantSplit/>
        </w:trPr>
        <w:tc>
          <w:tcPr>
            <w:tcW w:w="7088" w:type="dxa"/>
          </w:tcPr>
          <w:p w14:paraId="138A300A"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logicalChannelSR-DelayTimer</w:t>
            </w:r>
            <w:proofErr w:type="spellEnd"/>
          </w:p>
          <w:p w14:paraId="376199E5"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 xml:space="preserve">Indicates whether the UE supports the </w:t>
            </w:r>
            <w:proofErr w:type="spellStart"/>
            <w:r w:rsidRPr="007959A9">
              <w:rPr>
                <w:rFonts w:ascii="Arial" w:hAnsi="Arial"/>
                <w:sz w:val="18"/>
                <w:lang w:eastAsia="ja-JP"/>
              </w:rPr>
              <w:t>logicalChannelSR-DelayTimer</w:t>
            </w:r>
            <w:proofErr w:type="spellEnd"/>
            <w:r w:rsidRPr="007959A9">
              <w:rPr>
                <w:rFonts w:ascii="Arial" w:hAnsi="Arial"/>
                <w:sz w:val="18"/>
                <w:lang w:eastAsia="ja-JP"/>
              </w:rPr>
              <w:t xml:space="preserve"> as specified in TS 38.321 [8].</w:t>
            </w:r>
          </w:p>
        </w:tc>
        <w:tc>
          <w:tcPr>
            <w:tcW w:w="567" w:type="dxa"/>
          </w:tcPr>
          <w:p w14:paraId="3659AAC0"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28F8694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5CECC23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01E3422D"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21DBE9C2" w14:textId="77777777" w:rsidTr="00F4432A">
        <w:trPr>
          <w:cantSplit/>
        </w:trPr>
        <w:tc>
          <w:tcPr>
            <w:tcW w:w="7088" w:type="dxa"/>
          </w:tcPr>
          <w:p w14:paraId="537662FC"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longDRX</w:t>
            </w:r>
            <w:proofErr w:type="spellEnd"/>
            <w:r w:rsidRPr="007959A9">
              <w:rPr>
                <w:rFonts w:ascii="Arial" w:hAnsi="Arial" w:cs="Arial"/>
                <w:b/>
                <w:bCs/>
                <w:i/>
                <w:iCs/>
                <w:sz w:val="18"/>
                <w:szCs w:val="18"/>
                <w:lang w:eastAsia="ja-JP"/>
              </w:rPr>
              <w:t>-Cycle</w:t>
            </w:r>
          </w:p>
          <w:p w14:paraId="7FC03427"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UE supports long DRX cycle as specified in TS 38.321 [8].</w:t>
            </w:r>
          </w:p>
        </w:tc>
        <w:tc>
          <w:tcPr>
            <w:tcW w:w="567" w:type="dxa"/>
          </w:tcPr>
          <w:p w14:paraId="0B9DAC30"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3AE37632"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9" w:type="dxa"/>
          </w:tcPr>
          <w:p w14:paraId="433A1DF4"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279BDF8D"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2A1736C3" w14:textId="77777777" w:rsidTr="00F4432A">
        <w:trPr>
          <w:cantSplit/>
        </w:trPr>
        <w:tc>
          <w:tcPr>
            <w:tcW w:w="7088" w:type="dxa"/>
          </w:tcPr>
          <w:p w14:paraId="0CA38089"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multipleConfiguredGrants</w:t>
            </w:r>
            <w:proofErr w:type="spellEnd"/>
          </w:p>
          <w:p w14:paraId="7786BF10"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75CCAF7"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0DE32CD7"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5F3BF60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1A5AD7D8"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18BDE80F" w14:textId="77777777" w:rsidTr="00F4432A">
        <w:trPr>
          <w:cantSplit/>
        </w:trPr>
        <w:tc>
          <w:tcPr>
            <w:tcW w:w="7088" w:type="dxa"/>
          </w:tcPr>
          <w:p w14:paraId="579CA0A5"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multipleSR</w:t>
            </w:r>
            <w:proofErr w:type="spellEnd"/>
            <w:r w:rsidRPr="007959A9">
              <w:rPr>
                <w:rFonts w:ascii="Arial" w:hAnsi="Arial" w:cs="Arial"/>
                <w:b/>
                <w:bCs/>
                <w:i/>
                <w:iCs/>
                <w:sz w:val="18"/>
                <w:szCs w:val="18"/>
                <w:lang w:eastAsia="ja-JP"/>
              </w:rPr>
              <w:t>-Configurations</w:t>
            </w:r>
          </w:p>
          <w:p w14:paraId="2ECBB08F"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the UE supports 8 SR configurations per PUCCH cell group as specified in TS 38.321 [8].</w:t>
            </w:r>
          </w:p>
        </w:tc>
        <w:tc>
          <w:tcPr>
            <w:tcW w:w="567" w:type="dxa"/>
          </w:tcPr>
          <w:p w14:paraId="574136E3"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7BE3939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64A285C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49F36030"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63FD5789" w14:textId="77777777" w:rsidTr="00F4432A">
        <w:trPr>
          <w:cantSplit/>
        </w:trPr>
        <w:tc>
          <w:tcPr>
            <w:tcW w:w="7088" w:type="dxa"/>
          </w:tcPr>
          <w:p w14:paraId="487C3A07"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proofErr w:type="spellStart"/>
            <w:r w:rsidRPr="007959A9">
              <w:rPr>
                <w:rFonts w:ascii="Arial" w:hAnsi="Arial"/>
                <w:b/>
                <w:i/>
                <w:sz w:val="18"/>
                <w:lang w:eastAsia="ja-JP"/>
              </w:rPr>
              <w:t>recommendedBitRate</w:t>
            </w:r>
            <w:proofErr w:type="spellEnd"/>
          </w:p>
          <w:p w14:paraId="60CAE952"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Indicates whether the UE supports the bit rate recommendation message from the gNB to the UE as specified in TS 38.321 [8].</w:t>
            </w:r>
          </w:p>
        </w:tc>
        <w:tc>
          <w:tcPr>
            <w:tcW w:w="567" w:type="dxa"/>
          </w:tcPr>
          <w:p w14:paraId="6365D344"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UE</w:t>
            </w:r>
          </w:p>
        </w:tc>
        <w:tc>
          <w:tcPr>
            <w:tcW w:w="567" w:type="dxa"/>
          </w:tcPr>
          <w:p w14:paraId="5466C7CC"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9" w:type="dxa"/>
          </w:tcPr>
          <w:p w14:paraId="060BACC3"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8" w:type="dxa"/>
          </w:tcPr>
          <w:p w14:paraId="08EF6B8B"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376350C0" w14:textId="77777777" w:rsidTr="00F4432A">
        <w:trPr>
          <w:cantSplit/>
        </w:trPr>
        <w:tc>
          <w:tcPr>
            <w:tcW w:w="7088" w:type="dxa"/>
          </w:tcPr>
          <w:p w14:paraId="09140AC6"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bCs/>
                <w:i/>
                <w:noProof/>
                <w:sz w:val="18"/>
                <w:lang w:eastAsia="en-GB"/>
              </w:rPr>
            </w:pPr>
            <w:r w:rsidRPr="007959A9">
              <w:rPr>
                <w:rFonts w:ascii="Arial" w:hAnsi="Arial"/>
                <w:b/>
                <w:bCs/>
                <w:i/>
                <w:noProof/>
                <w:sz w:val="18"/>
                <w:lang w:eastAsia="en-GB"/>
              </w:rPr>
              <w:t>recommendedBitRateMultiplier-r16</w:t>
            </w:r>
          </w:p>
          <w:p w14:paraId="60EE05E6"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iCs/>
                <w:noProof/>
                <w:sz w:val="18"/>
                <w:lang w:eastAsia="en-GB"/>
              </w:rPr>
              <w:t xml:space="preserve">Indicates whether the UE supports the bit rate multiplier for recommended bit rate MAC CE as specified in TS 38.321 [8], clause 6.1.3.20. </w:t>
            </w:r>
            <w:r w:rsidRPr="007959A9">
              <w:rPr>
                <w:rFonts w:ascii="Arial" w:hAnsi="Arial"/>
                <w:sz w:val="18"/>
                <w:lang w:eastAsia="ja-JP"/>
              </w:rPr>
              <w:t xml:space="preserve">This field is only applicable if the UE supports </w:t>
            </w:r>
            <w:proofErr w:type="spellStart"/>
            <w:r w:rsidRPr="007959A9">
              <w:rPr>
                <w:rFonts w:ascii="Arial" w:hAnsi="Arial"/>
                <w:sz w:val="18"/>
                <w:lang w:eastAsia="ja-JP"/>
              </w:rPr>
              <w:t>recommendedBitRate</w:t>
            </w:r>
            <w:proofErr w:type="spellEnd"/>
            <w:r w:rsidRPr="007959A9">
              <w:rPr>
                <w:rFonts w:ascii="Arial" w:hAnsi="Arial"/>
                <w:sz w:val="18"/>
                <w:lang w:eastAsia="zh-CN"/>
              </w:rPr>
              <w:t>.</w:t>
            </w:r>
          </w:p>
        </w:tc>
        <w:tc>
          <w:tcPr>
            <w:tcW w:w="567" w:type="dxa"/>
          </w:tcPr>
          <w:p w14:paraId="26653CB2"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UE</w:t>
            </w:r>
          </w:p>
        </w:tc>
        <w:tc>
          <w:tcPr>
            <w:tcW w:w="567" w:type="dxa"/>
          </w:tcPr>
          <w:p w14:paraId="14D640F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9" w:type="dxa"/>
          </w:tcPr>
          <w:p w14:paraId="7A874ECB"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8" w:type="dxa"/>
          </w:tcPr>
          <w:p w14:paraId="33E6C6B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0CA6D9ED" w14:textId="77777777" w:rsidTr="00F4432A">
        <w:trPr>
          <w:cantSplit/>
        </w:trPr>
        <w:tc>
          <w:tcPr>
            <w:tcW w:w="7088" w:type="dxa"/>
          </w:tcPr>
          <w:p w14:paraId="781D9489"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proofErr w:type="spellStart"/>
            <w:r w:rsidRPr="007959A9">
              <w:rPr>
                <w:rFonts w:ascii="Arial" w:hAnsi="Arial"/>
                <w:b/>
                <w:i/>
                <w:sz w:val="18"/>
                <w:lang w:eastAsia="ja-JP"/>
              </w:rPr>
              <w:t>recommendedBitRateQuery</w:t>
            </w:r>
            <w:proofErr w:type="spellEnd"/>
          </w:p>
          <w:p w14:paraId="21D85437"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the bit rate recommendation query message from the UE to the gNB as specified in TS 38.321 [8]. This field is only applicable if the UE supports </w:t>
            </w:r>
            <w:proofErr w:type="spellStart"/>
            <w:r w:rsidRPr="007959A9">
              <w:rPr>
                <w:rFonts w:ascii="Arial" w:hAnsi="Arial"/>
                <w:sz w:val="18"/>
                <w:lang w:eastAsia="ja-JP"/>
              </w:rPr>
              <w:t>recommendedBitRate</w:t>
            </w:r>
            <w:proofErr w:type="spellEnd"/>
            <w:r w:rsidRPr="007959A9">
              <w:rPr>
                <w:rFonts w:ascii="Arial" w:hAnsi="Arial"/>
                <w:sz w:val="18"/>
                <w:lang w:eastAsia="ja-JP"/>
              </w:rPr>
              <w:t>.</w:t>
            </w:r>
          </w:p>
        </w:tc>
        <w:tc>
          <w:tcPr>
            <w:tcW w:w="567" w:type="dxa"/>
          </w:tcPr>
          <w:p w14:paraId="032392FB"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UE</w:t>
            </w:r>
          </w:p>
        </w:tc>
        <w:tc>
          <w:tcPr>
            <w:tcW w:w="567" w:type="dxa"/>
          </w:tcPr>
          <w:p w14:paraId="06CA683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9" w:type="dxa"/>
          </w:tcPr>
          <w:p w14:paraId="1E0D1FA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8" w:type="dxa"/>
          </w:tcPr>
          <w:p w14:paraId="788475C4"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67F58F0E" w14:textId="77777777" w:rsidTr="00F4432A">
        <w:trPr>
          <w:cantSplit/>
        </w:trPr>
        <w:tc>
          <w:tcPr>
            <w:tcW w:w="7088" w:type="dxa"/>
          </w:tcPr>
          <w:p w14:paraId="780322C0"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secondaryDRX-Group-r16</w:t>
            </w:r>
          </w:p>
          <w:p w14:paraId="2B590ECC"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cs="Arial"/>
                <w:sz w:val="18"/>
                <w:szCs w:val="18"/>
                <w:lang w:eastAsia="ja-JP"/>
              </w:rPr>
              <w:t>Indicates whether UE supports secondary DRX group as specified in TS 38.321 [8].</w:t>
            </w:r>
          </w:p>
        </w:tc>
        <w:tc>
          <w:tcPr>
            <w:tcW w:w="567" w:type="dxa"/>
          </w:tcPr>
          <w:p w14:paraId="1299631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cs="Arial"/>
                <w:bCs/>
                <w:iCs/>
                <w:sz w:val="18"/>
                <w:szCs w:val="18"/>
                <w:lang w:eastAsia="ja-JP"/>
              </w:rPr>
              <w:t>UE</w:t>
            </w:r>
          </w:p>
        </w:tc>
        <w:tc>
          <w:tcPr>
            <w:tcW w:w="567" w:type="dxa"/>
          </w:tcPr>
          <w:p w14:paraId="217ACE3C"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cs="Arial"/>
                <w:bCs/>
                <w:iCs/>
                <w:sz w:val="18"/>
                <w:szCs w:val="18"/>
                <w:lang w:eastAsia="ja-JP"/>
              </w:rPr>
              <w:t>No</w:t>
            </w:r>
          </w:p>
        </w:tc>
        <w:tc>
          <w:tcPr>
            <w:tcW w:w="709" w:type="dxa"/>
          </w:tcPr>
          <w:p w14:paraId="7F4690B6"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cs="Arial"/>
                <w:bCs/>
                <w:iCs/>
                <w:sz w:val="18"/>
                <w:szCs w:val="18"/>
                <w:lang w:eastAsia="ja-JP"/>
              </w:rPr>
              <w:t>Yes</w:t>
            </w:r>
          </w:p>
        </w:tc>
        <w:tc>
          <w:tcPr>
            <w:tcW w:w="708" w:type="dxa"/>
          </w:tcPr>
          <w:p w14:paraId="512A89CE"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349095C2" w14:textId="77777777" w:rsidTr="00F4432A">
        <w:trPr>
          <w:cantSplit/>
        </w:trPr>
        <w:tc>
          <w:tcPr>
            <w:tcW w:w="7088" w:type="dxa"/>
          </w:tcPr>
          <w:p w14:paraId="527E0984"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shortDRX</w:t>
            </w:r>
            <w:proofErr w:type="spellEnd"/>
            <w:r w:rsidRPr="007959A9">
              <w:rPr>
                <w:rFonts w:ascii="Arial" w:hAnsi="Arial" w:cs="Arial"/>
                <w:b/>
                <w:bCs/>
                <w:i/>
                <w:iCs/>
                <w:sz w:val="18"/>
                <w:szCs w:val="18"/>
                <w:lang w:eastAsia="ja-JP"/>
              </w:rPr>
              <w:t>-Cycle</w:t>
            </w:r>
          </w:p>
          <w:p w14:paraId="483FE957"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UE supports short DRX cycle as specified in TS 38.321 [8].</w:t>
            </w:r>
          </w:p>
        </w:tc>
        <w:tc>
          <w:tcPr>
            <w:tcW w:w="567" w:type="dxa"/>
          </w:tcPr>
          <w:p w14:paraId="56E7870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0B33B18C"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9" w:type="dxa"/>
          </w:tcPr>
          <w:p w14:paraId="592EFC7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7A9801F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No</w:t>
            </w:r>
          </w:p>
        </w:tc>
      </w:tr>
      <w:tr w:rsidR="007959A9" w:rsidRPr="007959A9" w14:paraId="2C5D18CD" w14:textId="77777777" w:rsidTr="00F4432A">
        <w:trPr>
          <w:cantSplit/>
        </w:trPr>
        <w:tc>
          <w:tcPr>
            <w:tcW w:w="7088" w:type="dxa"/>
          </w:tcPr>
          <w:p w14:paraId="29CE0753"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bCs/>
                <w:i/>
                <w:iCs/>
                <w:sz w:val="18"/>
                <w:lang w:eastAsia="ko-KR"/>
              </w:rPr>
            </w:pPr>
            <w:r w:rsidRPr="007959A9">
              <w:rPr>
                <w:rFonts w:ascii="Arial" w:hAnsi="Arial"/>
                <w:b/>
                <w:bCs/>
                <w:i/>
                <w:iCs/>
                <w:sz w:val="18"/>
                <w:lang w:eastAsia="ko-KR"/>
              </w:rPr>
              <w:t>singlePHR-P-r16</w:t>
            </w:r>
          </w:p>
          <w:p w14:paraId="5FFBB871"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sz w:val="18"/>
                <w:szCs w:val="18"/>
                <w:lang w:eastAsia="zh-CN"/>
              </w:rPr>
              <w:t xml:space="preserve">Indicates whether UE supports the P bit in single PHR MAC CE as </w:t>
            </w:r>
            <w:r w:rsidRPr="007959A9">
              <w:rPr>
                <w:rFonts w:ascii="Arial" w:hAnsi="Arial"/>
                <w:sz w:val="18"/>
                <w:lang w:eastAsia="ja-JP"/>
              </w:rPr>
              <w:t>specified in TS 38.321 [8].</w:t>
            </w:r>
          </w:p>
        </w:tc>
        <w:tc>
          <w:tcPr>
            <w:tcW w:w="567" w:type="dxa"/>
          </w:tcPr>
          <w:p w14:paraId="56DFB738"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UE</w:t>
            </w:r>
          </w:p>
        </w:tc>
        <w:tc>
          <w:tcPr>
            <w:tcW w:w="567" w:type="dxa"/>
          </w:tcPr>
          <w:p w14:paraId="5F84B5F6"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No</w:t>
            </w:r>
          </w:p>
        </w:tc>
        <w:tc>
          <w:tcPr>
            <w:tcW w:w="709" w:type="dxa"/>
          </w:tcPr>
          <w:p w14:paraId="01457750"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No</w:t>
            </w:r>
          </w:p>
        </w:tc>
        <w:tc>
          <w:tcPr>
            <w:tcW w:w="708" w:type="dxa"/>
          </w:tcPr>
          <w:p w14:paraId="60FEDC7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0C89C07C" w14:textId="77777777" w:rsidTr="00F4432A">
        <w:trPr>
          <w:cantSplit/>
        </w:trPr>
        <w:tc>
          <w:tcPr>
            <w:tcW w:w="7088" w:type="dxa"/>
          </w:tcPr>
          <w:p w14:paraId="0A8D45AB"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skipUplinkTxDynamic</w:t>
            </w:r>
            <w:proofErr w:type="spellEnd"/>
          </w:p>
          <w:p w14:paraId="68B678C0"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the UE supports skipping of UL transmission for an uplink grant indicated on PDCCH if no data is available for transmission as specified in TS 38.321 [8].</w:t>
            </w:r>
          </w:p>
        </w:tc>
        <w:tc>
          <w:tcPr>
            <w:tcW w:w="567" w:type="dxa"/>
          </w:tcPr>
          <w:p w14:paraId="3B435077"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2072C298"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6DA00121"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2E584CD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No</w:t>
            </w:r>
          </w:p>
        </w:tc>
      </w:tr>
      <w:tr w:rsidR="007959A9" w:rsidRPr="007959A9" w14:paraId="1A2F1683" w14:textId="77777777" w:rsidTr="00F4432A">
        <w:trPr>
          <w:cantSplit/>
        </w:trPr>
        <w:tc>
          <w:tcPr>
            <w:tcW w:w="7088" w:type="dxa"/>
          </w:tcPr>
          <w:p w14:paraId="1BAA14BD"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tdd-MPE-P-MPR-Reporting-r16</w:t>
            </w:r>
          </w:p>
          <w:p w14:paraId="66EA5945"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the UE supports P-MPR reporting for Maximum Permissible Exposure, as specified in TS38.321 [8].</w:t>
            </w:r>
          </w:p>
        </w:tc>
        <w:tc>
          <w:tcPr>
            <w:tcW w:w="567" w:type="dxa"/>
          </w:tcPr>
          <w:p w14:paraId="476F9843"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sz w:val="18"/>
                <w:szCs w:val="18"/>
                <w:lang w:eastAsia="ja-JP"/>
              </w:rPr>
              <w:t>UE</w:t>
            </w:r>
          </w:p>
        </w:tc>
        <w:tc>
          <w:tcPr>
            <w:tcW w:w="567" w:type="dxa"/>
          </w:tcPr>
          <w:p w14:paraId="1F31274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sz w:val="18"/>
                <w:szCs w:val="18"/>
                <w:lang w:eastAsia="ja-JP"/>
              </w:rPr>
              <w:t>No</w:t>
            </w:r>
          </w:p>
        </w:tc>
        <w:tc>
          <w:tcPr>
            <w:tcW w:w="709" w:type="dxa"/>
          </w:tcPr>
          <w:p w14:paraId="3BBC4F3E"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sz w:val="18"/>
                <w:szCs w:val="18"/>
                <w:lang w:eastAsia="ja-JP"/>
              </w:rPr>
              <w:t>TDD only</w:t>
            </w:r>
          </w:p>
        </w:tc>
        <w:tc>
          <w:tcPr>
            <w:tcW w:w="708" w:type="dxa"/>
          </w:tcPr>
          <w:p w14:paraId="4238DAC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cs="Arial"/>
                <w:sz w:val="18"/>
                <w:szCs w:val="18"/>
                <w:lang w:eastAsia="ja-JP"/>
              </w:rPr>
              <w:t>FR2 only</w:t>
            </w:r>
          </w:p>
        </w:tc>
      </w:tr>
      <w:tr w:rsidR="007959A9" w:rsidRPr="007959A9" w14:paraId="37A02A32" w14:textId="77777777" w:rsidTr="00F4432A">
        <w:trPr>
          <w:cantSplit/>
        </w:trPr>
        <w:tc>
          <w:tcPr>
            <w:tcW w:w="7088" w:type="dxa"/>
          </w:tcPr>
          <w:p w14:paraId="1B7F54DE"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ul-LBT-FailureDetectionRecovery-r16</w:t>
            </w:r>
          </w:p>
          <w:p w14:paraId="7EE781BE"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Indicates whether the UE supports consistent uplink LBT detection and recovery, as specified in TS 38.321 [8], for cells operating with shared spectrum channel access [8].</w:t>
            </w:r>
          </w:p>
          <w:p w14:paraId="12693F9A"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41" w:name="_Hlk42151165"/>
            <w:r w:rsidRPr="007959A9">
              <w:rPr>
                <w:rFonts w:ascii="Arial" w:hAnsi="Arial"/>
                <w:sz w:val="18"/>
                <w:lang w:eastAsia="ja-JP"/>
              </w:rPr>
              <w:t>This field applies to all serving cells with which the UE is configured with shared spectrum channel access.</w:t>
            </w:r>
            <w:bookmarkEnd w:id="41"/>
          </w:p>
        </w:tc>
        <w:tc>
          <w:tcPr>
            <w:tcW w:w="567" w:type="dxa"/>
          </w:tcPr>
          <w:p w14:paraId="6AB9A7D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szCs w:val="18"/>
                <w:lang w:eastAsia="ja-JP"/>
              </w:rPr>
              <w:t>UE</w:t>
            </w:r>
          </w:p>
        </w:tc>
        <w:tc>
          <w:tcPr>
            <w:tcW w:w="567" w:type="dxa"/>
          </w:tcPr>
          <w:p w14:paraId="6F6A074D"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szCs w:val="18"/>
                <w:lang w:eastAsia="ja-JP"/>
              </w:rPr>
              <w:t>No</w:t>
            </w:r>
          </w:p>
        </w:tc>
        <w:tc>
          <w:tcPr>
            <w:tcW w:w="709" w:type="dxa"/>
          </w:tcPr>
          <w:p w14:paraId="51A70763"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szCs w:val="18"/>
                <w:lang w:eastAsia="ja-JP"/>
              </w:rPr>
              <w:t>No</w:t>
            </w:r>
          </w:p>
        </w:tc>
        <w:tc>
          <w:tcPr>
            <w:tcW w:w="708" w:type="dxa"/>
          </w:tcPr>
          <w:p w14:paraId="0FD348E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szCs w:val="18"/>
                <w:lang w:eastAsia="ja-JP"/>
              </w:rPr>
              <w:t>No</w:t>
            </w:r>
          </w:p>
        </w:tc>
      </w:tr>
    </w:tbl>
    <w:p w14:paraId="695ACE51" w14:textId="27ABA51E" w:rsidR="008C1EEC" w:rsidRPr="008C1EEC" w:rsidRDefault="008C1EEC" w:rsidP="007959A9">
      <w:pPr>
        <w:pStyle w:val="Heading2"/>
        <w:ind w:left="0" w:firstLine="0"/>
        <w:rPr>
          <w:noProof/>
          <w:lang w:eastAsia="ja-JP"/>
        </w:rPr>
      </w:pPr>
    </w:p>
    <w:p w14:paraId="544C3844" w14:textId="77777777" w:rsidR="008C1EEC" w:rsidRPr="008C1EEC" w:rsidRDefault="008C1EEC" w:rsidP="008C1EEC">
      <w:pPr>
        <w:rPr>
          <w:lang w:eastAsia="ko-KR"/>
        </w:rPr>
      </w:pPr>
    </w:p>
    <w:p w14:paraId="2A3DEFE9" w14:textId="0BB2E3A0" w:rsidR="00324A06" w:rsidRPr="00AB51C5" w:rsidRDefault="00FC773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003474B5">
        <w:rPr>
          <w:i/>
          <w:noProof/>
        </w:rPr>
        <w:t xml:space="preserve"> of the modification</w:t>
      </w:r>
      <w:r w:rsidR="00F45DCF">
        <w:rPr>
          <w:i/>
          <w:noProof/>
        </w:rPr>
        <w:t>s</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85BE4" w14:textId="77777777" w:rsidR="002E14D5" w:rsidRDefault="002E14D5">
      <w:r>
        <w:separator/>
      </w:r>
    </w:p>
  </w:endnote>
  <w:endnote w:type="continuationSeparator" w:id="0">
    <w:p w14:paraId="703076BD" w14:textId="77777777" w:rsidR="002E14D5" w:rsidRDefault="002E1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2FEDF" w14:textId="77777777" w:rsidR="002E14D5" w:rsidRDefault="002E14D5">
      <w:r>
        <w:separator/>
      </w:r>
    </w:p>
  </w:footnote>
  <w:footnote w:type="continuationSeparator" w:id="0">
    <w:p w14:paraId="6F938E50" w14:textId="77777777" w:rsidR="002E14D5" w:rsidRDefault="002E1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7"/>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3EBD"/>
    <w:rsid w:val="00016B66"/>
    <w:rsid w:val="00022E4A"/>
    <w:rsid w:val="00056A4E"/>
    <w:rsid w:val="0006320D"/>
    <w:rsid w:val="00064B05"/>
    <w:rsid w:val="00072823"/>
    <w:rsid w:val="00073FCC"/>
    <w:rsid w:val="000869B7"/>
    <w:rsid w:val="00092A9E"/>
    <w:rsid w:val="00093812"/>
    <w:rsid w:val="0009641D"/>
    <w:rsid w:val="000966AB"/>
    <w:rsid w:val="000A6394"/>
    <w:rsid w:val="000B4EBB"/>
    <w:rsid w:val="000B6014"/>
    <w:rsid w:val="000B6895"/>
    <w:rsid w:val="000B7FED"/>
    <w:rsid w:val="000C038A"/>
    <w:rsid w:val="000C0781"/>
    <w:rsid w:val="000C12F8"/>
    <w:rsid w:val="000C2CFB"/>
    <w:rsid w:val="000C42A3"/>
    <w:rsid w:val="000C6598"/>
    <w:rsid w:val="000D54F0"/>
    <w:rsid w:val="000F3F5F"/>
    <w:rsid w:val="001454AD"/>
    <w:rsid w:val="00145D43"/>
    <w:rsid w:val="00155B03"/>
    <w:rsid w:val="001627FC"/>
    <w:rsid w:val="00165F57"/>
    <w:rsid w:val="00190120"/>
    <w:rsid w:val="00192C46"/>
    <w:rsid w:val="001A08B3"/>
    <w:rsid w:val="001A213D"/>
    <w:rsid w:val="001A4DDF"/>
    <w:rsid w:val="001A567B"/>
    <w:rsid w:val="001A7B60"/>
    <w:rsid w:val="001B435E"/>
    <w:rsid w:val="001B52F0"/>
    <w:rsid w:val="001B7A65"/>
    <w:rsid w:val="001B7D44"/>
    <w:rsid w:val="001C1CDF"/>
    <w:rsid w:val="001C489F"/>
    <w:rsid w:val="001C568A"/>
    <w:rsid w:val="001E3D13"/>
    <w:rsid w:val="001E41F3"/>
    <w:rsid w:val="001F35D4"/>
    <w:rsid w:val="001F7124"/>
    <w:rsid w:val="00201BA9"/>
    <w:rsid w:val="00205B14"/>
    <w:rsid w:val="00215788"/>
    <w:rsid w:val="00221549"/>
    <w:rsid w:val="002351EE"/>
    <w:rsid w:val="00251101"/>
    <w:rsid w:val="00251756"/>
    <w:rsid w:val="00252555"/>
    <w:rsid w:val="00252630"/>
    <w:rsid w:val="0026004D"/>
    <w:rsid w:val="002640DD"/>
    <w:rsid w:val="00275D12"/>
    <w:rsid w:val="00276B8F"/>
    <w:rsid w:val="002807BD"/>
    <w:rsid w:val="00284FEB"/>
    <w:rsid w:val="002860C4"/>
    <w:rsid w:val="00291EFB"/>
    <w:rsid w:val="002A7462"/>
    <w:rsid w:val="002A7F94"/>
    <w:rsid w:val="002B5741"/>
    <w:rsid w:val="002C033C"/>
    <w:rsid w:val="002C4F7B"/>
    <w:rsid w:val="002E14D5"/>
    <w:rsid w:val="002E56E9"/>
    <w:rsid w:val="002F208E"/>
    <w:rsid w:val="00305409"/>
    <w:rsid w:val="003209FD"/>
    <w:rsid w:val="00324A06"/>
    <w:rsid w:val="003401B4"/>
    <w:rsid w:val="003474B5"/>
    <w:rsid w:val="00354670"/>
    <w:rsid w:val="0035644A"/>
    <w:rsid w:val="00357130"/>
    <w:rsid w:val="003609EF"/>
    <w:rsid w:val="0036231A"/>
    <w:rsid w:val="003669B1"/>
    <w:rsid w:val="00374DD4"/>
    <w:rsid w:val="00381A86"/>
    <w:rsid w:val="00385547"/>
    <w:rsid w:val="003A75DB"/>
    <w:rsid w:val="003B0560"/>
    <w:rsid w:val="003B45E6"/>
    <w:rsid w:val="003B7BFF"/>
    <w:rsid w:val="003D2519"/>
    <w:rsid w:val="003D5113"/>
    <w:rsid w:val="003E1A36"/>
    <w:rsid w:val="003F1090"/>
    <w:rsid w:val="003F2191"/>
    <w:rsid w:val="003F35C8"/>
    <w:rsid w:val="00406813"/>
    <w:rsid w:val="00410371"/>
    <w:rsid w:val="0041695F"/>
    <w:rsid w:val="00421964"/>
    <w:rsid w:val="004242F1"/>
    <w:rsid w:val="004414A9"/>
    <w:rsid w:val="00443992"/>
    <w:rsid w:val="00443F49"/>
    <w:rsid w:val="004510EE"/>
    <w:rsid w:val="00453E11"/>
    <w:rsid w:val="00456761"/>
    <w:rsid w:val="00462304"/>
    <w:rsid w:val="00466DC4"/>
    <w:rsid w:val="00474036"/>
    <w:rsid w:val="00480CAB"/>
    <w:rsid w:val="00487323"/>
    <w:rsid w:val="004B75B7"/>
    <w:rsid w:val="004C0F54"/>
    <w:rsid w:val="004C1C01"/>
    <w:rsid w:val="004C23E6"/>
    <w:rsid w:val="004C5609"/>
    <w:rsid w:val="004E065E"/>
    <w:rsid w:val="004E06A6"/>
    <w:rsid w:val="004F0EDF"/>
    <w:rsid w:val="0051580D"/>
    <w:rsid w:val="0052588F"/>
    <w:rsid w:val="005314F8"/>
    <w:rsid w:val="00535204"/>
    <w:rsid w:val="00547111"/>
    <w:rsid w:val="005501D9"/>
    <w:rsid w:val="00557908"/>
    <w:rsid w:val="00585A72"/>
    <w:rsid w:val="00592D74"/>
    <w:rsid w:val="005B5711"/>
    <w:rsid w:val="005C57CA"/>
    <w:rsid w:val="005E2C44"/>
    <w:rsid w:val="005F3BBB"/>
    <w:rsid w:val="00606CB2"/>
    <w:rsid w:val="00621188"/>
    <w:rsid w:val="00624525"/>
    <w:rsid w:val="006257ED"/>
    <w:rsid w:val="006645B6"/>
    <w:rsid w:val="006647D4"/>
    <w:rsid w:val="00672308"/>
    <w:rsid w:val="00681EF3"/>
    <w:rsid w:val="00693F69"/>
    <w:rsid w:val="00695808"/>
    <w:rsid w:val="006A1045"/>
    <w:rsid w:val="006A765E"/>
    <w:rsid w:val="006B017B"/>
    <w:rsid w:val="006B46FB"/>
    <w:rsid w:val="006C2BA1"/>
    <w:rsid w:val="006C56CA"/>
    <w:rsid w:val="006C628F"/>
    <w:rsid w:val="006D7DD5"/>
    <w:rsid w:val="006E0442"/>
    <w:rsid w:val="006E21FB"/>
    <w:rsid w:val="006E6F59"/>
    <w:rsid w:val="007066A2"/>
    <w:rsid w:val="007444EF"/>
    <w:rsid w:val="0075520A"/>
    <w:rsid w:val="00760E9E"/>
    <w:rsid w:val="0076124E"/>
    <w:rsid w:val="00792342"/>
    <w:rsid w:val="007959A9"/>
    <w:rsid w:val="00796A1C"/>
    <w:rsid w:val="007977A8"/>
    <w:rsid w:val="007B1AE8"/>
    <w:rsid w:val="007B512A"/>
    <w:rsid w:val="007C2097"/>
    <w:rsid w:val="007C73EA"/>
    <w:rsid w:val="007D6A07"/>
    <w:rsid w:val="007E2A29"/>
    <w:rsid w:val="007F7259"/>
    <w:rsid w:val="00801A23"/>
    <w:rsid w:val="008040A8"/>
    <w:rsid w:val="0080484F"/>
    <w:rsid w:val="00812BF8"/>
    <w:rsid w:val="00821545"/>
    <w:rsid w:val="008225ED"/>
    <w:rsid w:val="008279FA"/>
    <w:rsid w:val="00834EED"/>
    <w:rsid w:val="00836333"/>
    <w:rsid w:val="00836390"/>
    <w:rsid w:val="00836CDE"/>
    <w:rsid w:val="008415ED"/>
    <w:rsid w:val="00844629"/>
    <w:rsid w:val="008626E7"/>
    <w:rsid w:val="008669B3"/>
    <w:rsid w:val="00870EE7"/>
    <w:rsid w:val="008759FC"/>
    <w:rsid w:val="008863B9"/>
    <w:rsid w:val="00886C30"/>
    <w:rsid w:val="00892AE8"/>
    <w:rsid w:val="008A2796"/>
    <w:rsid w:val="008A45A6"/>
    <w:rsid w:val="008A78C1"/>
    <w:rsid w:val="008B1BAB"/>
    <w:rsid w:val="008B3280"/>
    <w:rsid w:val="008C1EEC"/>
    <w:rsid w:val="008C4260"/>
    <w:rsid w:val="008F2346"/>
    <w:rsid w:val="008F347F"/>
    <w:rsid w:val="008F686C"/>
    <w:rsid w:val="0090367D"/>
    <w:rsid w:val="00906105"/>
    <w:rsid w:val="0090716E"/>
    <w:rsid w:val="00911C75"/>
    <w:rsid w:val="009148DE"/>
    <w:rsid w:val="00916C45"/>
    <w:rsid w:val="009200A9"/>
    <w:rsid w:val="00931CD3"/>
    <w:rsid w:val="00941E30"/>
    <w:rsid w:val="00965506"/>
    <w:rsid w:val="00970103"/>
    <w:rsid w:val="00970AE7"/>
    <w:rsid w:val="009777D9"/>
    <w:rsid w:val="00991B88"/>
    <w:rsid w:val="009A43B2"/>
    <w:rsid w:val="009A5753"/>
    <w:rsid w:val="009A579D"/>
    <w:rsid w:val="009B181D"/>
    <w:rsid w:val="009D3456"/>
    <w:rsid w:val="009D37F6"/>
    <w:rsid w:val="009E3297"/>
    <w:rsid w:val="009E59ED"/>
    <w:rsid w:val="009F02FB"/>
    <w:rsid w:val="009F260E"/>
    <w:rsid w:val="009F734F"/>
    <w:rsid w:val="009F7D80"/>
    <w:rsid w:val="00A03A4D"/>
    <w:rsid w:val="00A118D5"/>
    <w:rsid w:val="00A11B73"/>
    <w:rsid w:val="00A163D7"/>
    <w:rsid w:val="00A246B6"/>
    <w:rsid w:val="00A27479"/>
    <w:rsid w:val="00A34703"/>
    <w:rsid w:val="00A348A0"/>
    <w:rsid w:val="00A4492D"/>
    <w:rsid w:val="00A47E70"/>
    <w:rsid w:val="00A50CF0"/>
    <w:rsid w:val="00A54B28"/>
    <w:rsid w:val="00A66575"/>
    <w:rsid w:val="00A66F81"/>
    <w:rsid w:val="00A7671C"/>
    <w:rsid w:val="00A822F3"/>
    <w:rsid w:val="00A97C3C"/>
    <w:rsid w:val="00AA0E06"/>
    <w:rsid w:val="00AA2CBC"/>
    <w:rsid w:val="00AB0035"/>
    <w:rsid w:val="00AB6C10"/>
    <w:rsid w:val="00AB7BC9"/>
    <w:rsid w:val="00AC0172"/>
    <w:rsid w:val="00AC1382"/>
    <w:rsid w:val="00AC2A57"/>
    <w:rsid w:val="00AC372F"/>
    <w:rsid w:val="00AC5820"/>
    <w:rsid w:val="00AC5A3B"/>
    <w:rsid w:val="00AD1CD8"/>
    <w:rsid w:val="00B02EB0"/>
    <w:rsid w:val="00B20A5D"/>
    <w:rsid w:val="00B258BB"/>
    <w:rsid w:val="00B441D8"/>
    <w:rsid w:val="00B445FA"/>
    <w:rsid w:val="00B55583"/>
    <w:rsid w:val="00B67B97"/>
    <w:rsid w:val="00B85A00"/>
    <w:rsid w:val="00B87FAA"/>
    <w:rsid w:val="00B90664"/>
    <w:rsid w:val="00B90749"/>
    <w:rsid w:val="00B92ADB"/>
    <w:rsid w:val="00B952D9"/>
    <w:rsid w:val="00B968C8"/>
    <w:rsid w:val="00B969D3"/>
    <w:rsid w:val="00BA3EC5"/>
    <w:rsid w:val="00BA51D9"/>
    <w:rsid w:val="00BB05B5"/>
    <w:rsid w:val="00BB5DFC"/>
    <w:rsid w:val="00BB76C4"/>
    <w:rsid w:val="00BD279D"/>
    <w:rsid w:val="00BD2C66"/>
    <w:rsid w:val="00BD6BB8"/>
    <w:rsid w:val="00BE7C8F"/>
    <w:rsid w:val="00BF30BD"/>
    <w:rsid w:val="00C2108B"/>
    <w:rsid w:val="00C226DD"/>
    <w:rsid w:val="00C34FB3"/>
    <w:rsid w:val="00C46751"/>
    <w:rsid w:val="00C66BA2"/>
    <w:rsid w:val="00C715C0"/>
    <w:rsid w:val="00C829F8"/>
    <w:rsid w:val="00C9212B"/>
    <w:rsid w:val="00C93A55"/>
    <w:rsid w:val="00C95985"/>
    <w:rsid w:val="00C97551"/>
    <w:rsid w:val="00CC0025"/>
    <w:rsid w:val="00CC5026"/>
    <w:rsid w:val="00CC68D0"/>
    <w:rsid w:val="00CC7E92"/>
    <w:rsid w:val="00D010B7"/>
    <w:rsid w:val="00D03F9A"/>
    <w:rsid w:val="00D05EB4"/>
    <w:rsid w:val="00D06D51"/>
    <w:rsid w:val="00D07610"/>
    <w:rsid w:val="00D13B63"/>
    <w:rsid w:val="00D15B57"/>
    <w:rsid w:val="00D21D55"/>
    <w:rsid w:val="00D21E94"/>
    <w:rsid w:val="00D24079"/>
    <w:rsid w:val="00D24991"/>
    <w:rsid w:val="00D259D7"/>
    <w:rsid w:val="00D306B2"/>
    <w:rsid w:val="00D50255"/>
    <w:rsid w:val="00D55705"/>
    <w:rsid w:val="00D61167"/>
    <w:rsid w:val="00D62A46"/>
    <w:rsid w:val="00D66520"/>
    <w:rsid w:val="00D81510"/>
    <w:rsid w:val="00D91C9A"/>
    <w:rsid w:val="00DA588A"/>
    <w:rsid w:val="00DA7206"/>
    <w:rsid w:val="00DB3349"/>
    <w:rsid w:val="00DB6EE8"/>
    <w:rsid w:val="00DC1E38"/>
    <w:rsid w:val="00DE34CF"/>
    <w:rsid w:val="00DF3347"/>
    <w:rsid w:val="00E10D25"/>
    <w:rsid w:val="00E13F3D"/>
    <w:rsid w:val="00E16066"/>
    <w:rsid w:val="00E20860"/>
    <w:rsid w:val="00E21A6D"/>
    <w:rsid w:val="00E258B1"/>
    <w:rsid w:val="00E34898"/>
    <w:rsid w:val="00E44C8B"/>
    <w:rsid w:val="00E46677"/>
    <w:rsid w:val="00E61CBE"/>
    <w:rsid w:val="00E812A1"/>
    <w:rsid w:val="00E907E3"/>
    <w:rsid w:val="00EA1BA0"/>
    <w:rsid w:val="00EB09B7"/>
    <w:rsid w:val="00EB3F84"/>
    <w:rsid w:val="00EB45E8"/>
    <w:rsid w:val="00ED02C1"/>
    <w:rsid w:val="00ED0F89"/>
    <w:rsid w:val="00ED23DB"/>
    <w:rsid w:val="00ED661C"/>
    <w:rsid w:val="00EE7D7C"/>
    <w:rsid w:val="00EF1B9C"/>
    <w:rsid w:val="00EF44F2"/>
    <w:rsid w:val="00EF7F52"/>
    <w:rsid w:val="00F12718"/>
    <w:rsid w:val="00F20158"/>
    <w:rsid w:val="00F25D98"/>
    <w:rsid w:val="00F2752D"/>
    <w:rsid w:val="00F300FB"/>
    <w:rsid w:val="00F41699"/>
    <w:rsid w:val="00F45DCF"/>
    <w:rsid w:val="00F6095C"/>
    <w:rsid w:val="00F61617"/>
    <w:rsid w:val="00F70707"/>
    <w:rsid w:val="00F72CD5"/>
    <w:rsid w:val="00F77D2A"/>
    <w:rsid w:val="00F929EF"/>
    <w:rsid w:val="00F97EC4"/>
    <w:rsid w:val="00FA01D2"/>
    <w:rsid w:val="00FB6386"/>
    <w:rsid w:val="00FB6D4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49C23778-2140-4B6F-B5F9-0202602D0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1185</TotalTime>
  <Pages>7</Pages>
  <Words>1756</Words>
  <Characters>10083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11816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184</cp:revision>
  <cp:lastPrinted>1900-01-01T08:00:00Z</cp:lastPrinted>
  <dcterms:created xsi:type="dcterms:W3CDTF">2020-10-15T00:21:00Z</dcterms:created>
  <dcterms:modified xsi:type="dcterms:W3CDTF">2020-10-23T05:03:00Z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